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1264"/>
        <w:tblW w:w="10785" w:type="dxa"/>
        <w:tblLayout w:type="fixed"/>
        <w:tblLook w:val="0000" w:firstRow="0" w:lastRow="0" w:firstColumn="0" w:lastColumn="0" w:noHBand="0" w:noVBand="0"/>
      </w:tblPr>
      <w:tblGrid>
        <w:gridCol w:w="3544"/>
        <w:gridCol w:w="7241"/>
      </w:tblGrid>
      <w:tr w:rsidR="00DE01CA" w:rsidRPr="004C4C75" w14:paraId="31AABA2F" w14:textId="77777777" w:rsidTr="00E74AA7">
        <w:trPr>
          <w:trHeight w:hRule="exact" w:val="860"/>
        </w:trPr>
        <w:tc>
          <w:tcPr>
            <w:tcW w:w="3544" w:type="dxa"/>
          </w:tcPr>
          <w:p w14:paraId="1B9B9F1B" w14:textId="77777777" w:rsidR="00DE01CA" w:rsidRPr="00CA3BDE" w:rsidRDefault="00DE01CA" w:rsidP="00CA3BDE">
            <w:pPr>
              <w:spacing w:before="60" w:line="247" w:lineRule="auto"/>
              <w:jc w:val="center"/>
              <w:rPr>
                <w:rFonts w:ascii="Times New Roman" w:hAnsi="Times New Roman"/>
                <w:b/>
                <w:bCs/>
                <w:noProof/>
                <w:spacing w:val="-2"/>
                <w:sz w:val="24"/>
                <w:lang w:val="nl-NL"/>
              </w:rPr>
            </w:pPr>
            <w:r w:rsidRPr="00CA3BDE">
              <w:rPr>
                <w:rFonts w:ascii="Times New Roman" w:hAnsi="Times New Roman"/>
                <w:b/>
                <w:bCs/>
                <w:noProof/>
                <w:spacing w:val="-2"/>
                <w:lang w:val="nl-NL"/>
              </w:rPr>
              <w:t>BỘ Y TẾ</w:t>
            </w:r>
          </w:p>
          <w:p w14:paraId="3C338774" w14:textId="0A0F3D55" w:rsidR="00DE01CA" w:rsidRPr="00CA3BDE" w:rsidRDefault="00871050" w:rsidP="00CA3BDE">
            <w:pPr>
              <w:spacing w:before="60" w:line="247" w:lineRule="auto"/>
              <w:jc w:val="center"/>
              <w:rPr>
                <w:rFonts w:ascii="Times New Roman" w:hAnsi="Times New Roman"/>
                <w:b/>
                <w:bCs/>
                <w:noProof/>
                <w:spacing w:val="-2"/>
                <w:sz w:val="24"/>
                <w:lang w:val="nl-NL"/>
              </w:rPr>
            </w:pPr>
            <w:r w:rsidRPr="00CA3BDE">
              <w:rPr>
                <w:rFonts w:ascii="Times New Roman" w:hAnsi="Times New Roman"/>
                <w:b/>
                <w:bCs/>
                <w:noProof/>
                <w:spacing w:val="-2"/>
              </w:rPr>
              <mc:AlternateContent>
                <mc:Choice Requires="wps">
                  <w:drawing>
                    <wp:anchor distT="4294967295" distB="4294967295" distL="114300" distR="114300" simplePos="0" relativeHeight="251660800" behindDoc="0" locked="0" layoutInCell="1" allowOverlap="1" wp14:anchorId="46E4DCDF" wp14:editId="5860865B">
                      <wp:simplePos x="0" y="0"/>
                      <wp:positionH relativeFrom="column">
                        <wp:posOffset>797560</wp:posOffset>
                      </wp:positionH>
                      <wp:positionV relativeFrom="paragraph">
                        <wp:posOffset>4444</wp:posOffset>
                      </wp:positionV>
                      <wp:extent cx="512445" cy="0"/>
                      <wp:effectExtent l="0" t="0" r="0"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07527" id="Straight Connector 2"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8pt,.35pt" to="103.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4ftrgEAAEcDAAAOAAAAZHJzL2Uyb0RvYy54bWysUsFuGyEQvVfqPyDu9dpWXLUrr3Nwml7S&#10;1lLSDxgDu4vCMmgGe9d/XyC2E7W3KhwQw8w83nvM+nYanDgaYou+kYvZXArjFWrru0b+frr/9EUK&#10;juA1OPSmkSfD8nbz8cN6DLVZYo9OGxIJxHM9hkb2MYa6qlj1ZgCeYTA+JVukAWIKqas0wZjQB1ct&#10;5/PP1YikA6EyzOn27iUpNwW/bY2Kv9qWTRSukYlbLDuVfZ/3arOGuiMIvVVnGvAfLAawPj16hbqD&#10;COJA9h+owSpCxjbOFA4Vtq1VpmhIahbzv9Q89hBM0ZLM4XC1id8PVv08bv2OMnU1+cfwgOqZhcdt&#10;D74zhcDTKaSPW2SrqjFwfW3JAYcdif34A3WqgUPE4sLU0pAhkz4xFbNPV7PNFIVKl6vF8uZmJYW6&#10;pCqoL32BOH43OIh8aKSzPtsANRwfOGYeUF9K8rXHe+tc+UrnxdjIr6vlqjQwOqtzMpcxdfutI3GE&#10;PAxlFVEp87aM8OB1AesN6G/ncwTrXs7pcefPXmT5eda43qM+7ejiUfqtwvI8WXkc3sal+3X+N38A&#10;AAD//wMAUEsDBBQABgAIAAAAIQBuFK1g2QAAAAUBAAAPAAAAZHJzL2Rvd25yZXYueG1sTI7BTsMw&#10;EETvSPyDtUhcqtYhFSkKcSoE5MaFAuK6jZckIl6nsdsGvp7tqRyfZjTzivXkenWgMXSeDdwsElDE&#10;tbcdNwbe36r5HagQkS32nsnADwVYl5cXBebWH/mVDpvYKBnhkKOBNsYh1zrULTkMCz8QS/blR4dR&#10;cGy0HfEo467XaZJk2mHH8tDiQI8t1d+bvTMQqg/aVb+zepZ8LhtP6e7p5RmNub6aHu5BRZriuQwn&#10;fVGHUpy2fs82qF44vc2kamAFSuI0yZagtifUZaH/25d/AAAA//8DAFBLAQItABQABgAIAAAAIQC2&#10;gziS/gAAAOEBAAATAAAAAAAAAAAAAAAAAAAAAABbQ29udGVudF9UeXBlc10ueG1sUEsBAi0AFAAG&#10;AAgAAAAhADj9If/WAAAAlAEAAAsAAAAAAAAAAAAAAAAALwEAAF9yZWxzLy5yZWxzUEsBAi0AFAAG&#10;AAgAAAAhAHbvh+2uAQAARwMAAA4AAAAAAAAAAAAAAAAALgIAAGRycy9lMm9Eb2MueG1sUEsBAi0A&#10;FAAGAAgAAAAhAG4UrWDZAAAABQEAAA8AAAAAAAAAAAAAAAAACAQAAGRycy9kb3ducmV2LnhtbFBL&#10;BQYAAAAABAAEAPMAAAAOBQAAAAA=&#10;"/>
                  </w:pict>
                </mc:Fallback>
              </mc:AlternateContent>
            </w:r>
          </w:p>
          <w:p w14:paraId="1FE05345" w14:textId="77777777" w:rsidR="00DE01CA" w:rsidRPr="00CA3BDE" w:rsidRDefault="00DE01CA" w:rsidP="00CA3BDE">
            <w:pPr>
              <w:spacing w:before="60" w:line="247" w:lineRule="auto"/>
              <w:jc w:val="center"/>
              <w:rPr>
                <w:rFonts w:ascii="Times New Roman" w:hAnsi="Times New Roman"/>
                <w:noProof/>
                <w:spacing w:val="-2"/>
                <w:sz w:val="24"/>
                <w:lang w:val="nl-NL"/>
              </w:rPr>
            </w:pPr>
          </w:p>
          <w:p w14:paraId="7BE747A5" w14:textId="77777777" w:rsidR="00DE01CA" w:rsidRPr="00CA3BDE" w:rsidRDefault="00DE01CA" w:rsidP="00CA3BDE">
            <w:pPr>
              <w:spacing w:before="60" w:line="247" w:lineRule="auto"/>
              <w:jc w:val="center"/>
              <w:rPr>
                <w:rFonts w:ascii="Times New Roman" w:hAnsi="Times New Roman"/>
                <w:noProof/>
                <w:spacing w:val="-2"/>
                <w:sz w:val="24"/>
                <w:szCs w:val="24"/>
                <w:lang w:val="nl-NL"/>
              </w:rPr>
            </w:pPr>
          </w:p>
        </w:tc>
        <w:tc>
          <w:tcPr>
            <w:tcW w:w="7241" w:type="dxa"/>
          </w:tcPr>
          <w:p w14:paraId="72B46D04" w14:textId="77777777" w:rsidR="00DE01CA" w:rsidRPr="00CA3BDE" w:rsidRDefault="00DE01CA" w:rsidP="00CA3BDE">
            <w:pPr>
              <w:spacing w:before="60" w:line="247" w:lineRule="auto"/>
              <w:jc w:val="center"/>
              <w:rPr>
                <w:rFonts w:ascii="Times New Roman" w:hAnsi="Times New Roman"/>
                <w:b/>
                <w:bCs/>
                <w:noProof/>
                <w:spacing w:val="-2"/>
                <w:sz w:val="24"/>
                <w:lang w:val="nl-NL"/>
              </w:rPr>
            </w:pPr>
            <w:r w:rsidRPr="00CA3BDE">
              <w:rPr>
                <w:rFonts w:ascii="Times New Roman" w:hAnsi="Times New Roman"/>
                <w:b/>
                <w:bCs/>
                <w:noProof/>
                <w:spacing w:val="-2"/>
                <w:lang w:val="nl-NL"/>
              </w:rPr>
              <w:t>CỘNG HOÀ XÃ HỘI CHỦ NGHĨA VIỆT NAM</w:t>
            </w:r>
          </w:p>
          <w:p w14:paraId="0EC717D6" w14:textId="77777777" w:rsidR="00DE01CA" w:rsidRPr="00CA3BDE" w:rsidRDefault="00DE01CA" w:rsidP="00CA3BDE">
            <w:pPr>
              <w:spacing w:before="60" w:line="247" w:lineRule="auto"/>
              <w:jc w:val="center"/>
              <w:rPr>
                <w:rFonts w:ascii="Times New Roman" w:hAnsi="Times New Roman"/>
                <w:b/>
                <w:bCs/>
                <w:noProof/>
                <w:spacing w:val="-2"/>
                <w:sz w:val="24"/>
                <w:lang w:val="nl-NL"/>
              </w:rPr>
            </w:pPr>
            <w:r w:rsidRPr="00CA3BDE">
              <w:rPr>
                <w:rFonts w:ascii="Times New Roman" w:hAnsi="Times New Roman"/>
                <w:b/>
                <w:bCs/>
                <w:noProof/>
                <w:spacing w:val="-2"/>
                <w:lang w:val="nl-NL"/>
              </w:rPr>
              <w:t>Độc lập - Tự do - Hạnh phúc</w:t>
            </w:r>
          </w:p>
          <w:p w14:paraId="06EA1715" w14:textId="13451A01" w:rsidR="00DE01CA" w:rsidRPr="00CA3BDE" w:rsidRDefault="00871050" w:rsidP="00CA3BDE">
            <w:pPr>
              <w:spacing w:before="60" w:line="247" w:lineRule="auto"/>
              <w:jc w:val="center"/>
              <w:rPr>
                <w:rFonts w:ascii="Times New Roman" w:hAnsi="Times New Roman"/>
                <w:i/>
                <w:iCs/>
                <w:noProof/>
                <w:spacing w:val="-2"/>
                <w:sz w:val="24"/>
                <w:lang w:val="nl-NL"/>
              </w:rPr>
            </w:pPr>
            <w:r w:rsidRPr="00CA3BDE">
              <w:rPr>
                <w:rFonts w:ascii="Times New Roman" w:hAnsi="Times New Roman"/>
                <w:b/>
                <w:bCs/>
                <w:noProof/>
                <w:spacing w:val="-2"/>
              </w:rPr>
              <mc:AlternateContent>
                <mc:Choice Requires="wps">
                  <w:drawing>
                    <wp:anchor distT="4294967295" distB="4294967295" distL="114300" distR="114300" simplePos="0" relativeHeight="251658752" behindDoc="0" locked="0" layoutInCell="1" allowOverlap="1" wp14:anchorId="54FA2649" wp14:editId="680141C5">
                      <wp:simplePos x="0" y="0"/>
                      <wp:positionH relativeFrom="column">
                        <wp:posOffset>1156970</wp:posOffset>
                      </wp:positionH>
                      <wp:positionV relativeFrom="paragraph">
                        <wp:posOffset>-1</wp:posOffset>
                      </wp:positionV>
                      <wp:extent cx="2121535"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1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715D4" id="Straight Connector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1pt,0" to="25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U0IrwEAAEgDAAAOAAAAZHJzL2Uyb0RvYy54bWysU8GO0zAQvSPxD5bvNE1QEURN99BluSxQ&#10;aZcPmNpOYuF4rBm3af8e29uWFdwQOVgez8zze8+T9d1pcuJoiC36TtaLpRTGK9TWD5388fzw7qMU&#10;HMFrcOhNJ8+G5d3m7Zv1HFrT4IhOGxIJxHM7h06OMYa2qliNZgJeYDA+JXukCWIKaag0wZzQJ1c1&#10;y+WHakbSgVAZ5nR6/5KUm4Lf90bF733PJgrXycQtlpXKus9rtVlDOxCE0aoLDfgHFhNYny69Qd1D&#10;BHEg+xfUZBUhYx8XCqcK+94qUzQkNfXyDzVPIwRTtCRzONxs4v8Hq74dt35Hmbo6+afwiOonC4/b&#10;EfxgCoHnc0gPV2erqjlwe2vJAYcdif38FXWqgUPE4sKppylDJn3iVMw+38w2pyhUOmzqpl69X0mh&#10;rrkK2mtjII5fDE4ibzrprM8+QAvHR46ZCLTXknzs8cE6V97SeTF38tOqWZUGRmd1TuYypmG/dSSO&#10;kKehfEVVyrwuIzx4XcBGA/rzZR/Bupd9utz5ixlZfx42bveozzu6mpSeq7C8jFaeh9dx6f79A2x+&#10;AQAA//8DAFBLAwQUAAYACAAAACEA5EF0CtkAAAAFAQAADwAAAGRycy9kb3ducmV2LnhtbEyPQU/C&#10;QBCF7yb8h82QcCGypURCarfEqL15ETVeh+7YNnZnS3eB4q93OOnxy3t5802+HV2nTjSE1rOB5SIB&#10;RVx523Jt4P2tvN2AChHZYueZDFwowLaY3OSYWX/mVzrtYq1khEOGBpoY+0zrUDXkMCx8TyzZlx8c&#10;RsGh1nbAs4y7TqdJstYOW5YLDfb02FD1vTs6A6H8oEP5M6/myeeq9pQenl6e0ZjZdHy4BxVpjH9l&#10;uOqLOhTitPdHtkF1wps0laoB+Ujiu+V6BWp/RV3k+r998QsAAP//AwBQSwECLQAUAAYACAAAACEA&#10;toM4kv4AAADhAQAAEwAAAAAAAAAAAAAAAAAAAAAAW0NvbnRlbnRfVHlwZXNdLnhtbFBLAQItABQA&#10;BgAIAAAAIQA4/SH/1gAAAJQBAAALAAAAAAAAAAAAAAAAAC8BAABfcmVscy8ucmVsc1BLAQItABQA&#10;BgAIAAAAIQBIeU0IrwEAAEgDAAAOAAAAAAAAAAAAAAAAAC4CAABkcnMvZTJvRG9jLnhtbFBLAQIt&#10;ABQABgAIAAAAIQDkQXQK2QAAAAUBAAAPAAAAAAAAAAAAAAAAAAkEAABkcnMvZG93bnJldi54bWxQ&#10;SwUGAAAAAAQABADzAAAADwUAAAAA&#10;"/>
                  </w:pict>
                </mc:Fallback>
              </mc:AlternateContent>
            </w:r>
          </w:p>
          <w:p w14:paraId="5D8425CB" w14:textId="77777777" w:rsidR="00DE01CA" w:rsidRPr="00CA3BDE" w:rsidRDefault="00DE01CA" w:rsidP="00CA3BDE">
            <w:pPr>
              <w:spacing w:before="60" w:line="247" w:lineRule="auto"/>
              <w:jc w:val="center"/>
              <w:rPr>
                <w:rFonts w:ascii="Times New Roman" w:hAnsi="Times New Roman"/>
                <w:i/>
                <w:iCs/>
                <w:noProof/>
                <w:spacing w:val="-2"/>
                <w:sz w:val="24"/>
                <w:lang w:val="nl-NL"/>
              </w:rPr>
            </w:pPr>
          </w:p>
        </w:tc>
      </w:tr>
      <w:tr w:rsidR="00DE01CA" w:rsidRPr="004C4C75" w14:paraId="51190656" w14:textId="77777777" w:rsidTr="00E74AA7">
        <w:trPr>
          <w:trHeight w:hRule="exact" w:val="551"/>
        </w:trPr>
        <w:tc>
          <w:tcPr>
            <w:tcW w:w="3544" w:type="dxa"/>
          </w:tcPr>
          <w:p w14:paraId="7DB563F4" w14:textId="169CE102" w:rsidR="00DE01CA" w:rsidRPr="00CA3BDE" w:rsidRDefault="00DE01CA" w:rsidP="00CA3BDE">
            <w:pPr>
              <w:spacing w:before="60" w:line="247" w:lineRule="auto"/>
              <w:jc w:val="center"/>
              <w:rPr>
                <w:rFonts w:ascii="Times New Roman" w:hAnsi="Times New Roman"/>
                <w:b/>
                <w:bCs/>
                <w:noProof/>
                <w:spacing w:val="-2"/>
                <w:lang w:val="nl-NL"/>
              </w:rPr>
            </w:pPr>
          </w:p>
        </w:tc>
        <w:tc>
          <w:tcPr>
            <w:tcW w:w="7241" w:type="dxa"/>
          </w:tcPr>
          <w:p w14:paraId="32C88166" w14:textId="2810CEC5" w:rsidR="00DE01CA" w:rsidRPr="00CA3BDE" w:rsidRDefault="00DE01CA" w:rsidP="00CA3BDE">
            <w:pPr>
              <w:spacing w:before="60" w:line="247" w:lineRule="auto"/>
              <w:jc w:val="center"/>
              <w:rPr>
                <w:rFonts w:ascii="Times New Roman" w:hAnsi="Times New Roman"/>
                <w:b/>
                <w:bCs/>
                <w:noProof/>
                <w:spacing w:val="-2"/>
                <w:lang w:val="nl-NL"/>
              </w:rPr>
            </w:pPr>
            <w:r w:rsidRPr="00CA3BDE">
              <w:rPr>
                <w:rFonts w:ascii="Times New Roman" w:hAnsi="Times New Roman"/>
                <w:i/>
                <w:iCs/>
                <w:noProof/>
                <w:spacing w:val="-2"/>
                <w:lang w:val="nl-NL"/>
              </w:rPr>
              <w:t>Hà Nội, ngày</w:t>
            </w:r>
            <w:r w:rsidR="008C0BBF" w:rsidRPr="00CA3BDE">
              <w:rPr>
                <w:rFonts w:ascii="Times New Roman" w:hAnsi="Times New Roman"/>
                <w:i/>
                <w:iCs/>
                <w:noProof/>
                <w:spacing w:val="-2"/>
                <w:lang w:val="vi-VN"/>
              </w:rPr>
              <w:t xml:space="preserve">   </w:t>
            </w:r>
            <w:r w:rsidRPr="00CA3BDE">
              <w:rPr>
                <w:rFonts w:ascii="Times New Roman" w:hAnsi="Times New Roman"/>
                <w:i/>
                <w:iCs/>
                <w:noProof/>
                <w:spacing w:val="-2"/>
                <w:lang w:val="nl-NL"/>
              </w:rPr>
              <w:t xml:space="preserve">    tháng </w:t>
            </w:r>
            <w:r w:rsidRPr="00CA3BDE">
              <w:rPr>
                <w:rFonts w:ascii="Times New Roman" w:hAnsi="Times New Roman"/>
                <w:i/>
                <w:iCs/>
                <w:noProof/>
                <w:spacing w:val="-2"/>
                <w:lang w:val="vi-VN"/>
              </w:rPr>
              <w:t xml:space="preserve"> </w:t>
            </w:r>
            <w:r w:rsidR="008C0BBF" w:rsidRPr="00CA3BDE">
              <w:rPr>
                <w:rFonts w:ascii="Times New Roman" w:hAnsi="Times New Roman"/>
                <w:i/>
                <w:iCs/>
                <w:noProof/>
                <w:spacing w:val="-2"/>
                <w:lang w:val="vi-VN"/>
              </w:rPr>
              <w:t xml:space="preserve">  </w:t>
            </w:r>
            <w:r w:rsidRPr="00CA3BDE">
              <w:rPr>
                <w:rFonts w:ascii="Times New Roman" w:hAnsi="Times New Roman"/>
                <w:i/>
                <w:iCs/>
                <w:noProof/>
                <w:spacing w:val="-2"/>
                <w:lang w:val="vi-VN"/>
              </w:rPr>
              <w:t xml:space="preserve">  </w:t>
            </w:r>
            <w:r w:rsidRPr="00CA3BDE">
              <w:rPr>
                <w:rFonts w:ascii="Times New Roman" w:hAnsi="Times New Roman"/>
                <w:i/>
                <w:iCs/>
                <w:noProof/>
                <w:spacing w:val="-2"/>
                <w:lang w:val="nl-NL"/>
              </w:rPr>
              <w:t xml:space="preserve"> năm 202</w:t>
            </w:r>
            <w:r w:rsidR="00813151">
              <w:rPr>
                <w:rFonts w:ascii="Times New Roman" w:hAnsi="Times New Roman"/>
                <w:i/>
                <w:iCs/>
                <w:noProof/>
                <w:spacing w:val="-2"/>
                <w:lang w:val="nl-NL"/>
              </w:rPr>
              <w:t>4</w:t>
            </w:r>
          </w:p>
        </w:tc>
      </w:tr>
    </w:tbl>
    <w:p w14:paraId="08165AE1" w14:textId="77777777" w:rsidR="001224FF" w:rsidRPr="00C32334" w:rsidRDefault="001224FF" w:rsidP="00CA3BDE">
      <w:pPr>
        <w:spacing w:before="60" w:line="247" w:lineRule="auto"/>
        <w:jc w:val="center"/>
        <w:rPr>
          <w:rFonts w:ascii="Times New Roman" w:hAnsi="Times New Roman"/>
          <w:b/>
          <w:bCs/>
          <w:spacing w:val="-2"/>
          <w:lang w:val="nl-NL"/>
        </w:rPr>
      </w:pPr>
    </w:p>
    <w:p w14:paraId="5CA91BB7" w14:textId="77777777" w:rsidR="001224FF" w:rsidRPr="00C32334" w:rsidRDefault="001224FF" w:rsidP="00A425F1">
      <w:pPr>
        <w:spacing w:before="240" w:line="247" w:lineRule="auto"/>
        <w:jc w:val="center"/>
        <w:rPr>
          <w:rFonts w:ascii="Times New Roman" w:hAnsi="Times New Roman"/>
          <w:b/>
          <w:spacing w:val="-2"/>
          <w:lang w:val="nl-NL"/>
        </w:rPr>
      </w:pPr>
      <w:r w:rsidRPr="00C32334">
        <w:rPr>
          <w:rFonts w:ascii="Times New Roman" w:hAnsi="Times New Roman"/>
          <w:b/>
          <w:spacing w:val="-2"/>
          <w:lang w:val="nl-NL"/>
        </w:rPr>
        <w:t xml:space="preserve">BÁO CÁO </w:t>
      </w:r>
    </w:p>
    <w:p w14:paraId="0DC9FBD1" w14:textId="77777777" w:rsidR="00C466B4" w:rsidRPr="00C32334" w:rsidRDefault="00FD1043" w:rsidP="00C466B4">
      <w:pPr>
        <w:jc w:val="center"/>
        <w:rPr>
          <w:rFonts w:ascii="Times New Roman" w:hAnsi="Times New Roman"/>
          <w:b/>
          <w:spacing w:val="-2"/>
          <w:lang w:val="nl-NL"/>
        </w:rPr>
      </w:pPr>
      <w:r w:rsidRPr="00C32334">
        <w:rPr>
          <w:rFonts w:ascii="Times New Roman" w:hAnsi="Times New Roman"/>
          <w:b/>
          <w:spacing w:val="-2"/>
          <w:lang w:val="nl-NL"/>
        </w:rPr>
        <w:t xml:space="preserve">Đánh giá </w:t>
      </w:r>
      <w:r w:rsidR="00A21090" w:rsidRPr="00C32334">
        <w:rPr>
          <w:rFonts w:ascii="Times New Roman" w:hAnsi="Times New Roman"/>
          <w:b/>
          <w:spacing w:val="-2"/>
          <w:lang w:val="nl-NL"/>
        </w:rPr>
        <w:t xml:space="preserve">kết quả </w:t>
      </w:r>
      <w:r w:rsidRPr="00C32334">
        <w:rPr>
          <w:rFonts w:ascii="Times New Roman" w:hAnsi="Times New Roman"/>
          <w:b/>
          <w:spacing w:val="-2"/>
          <w:lang w:val="nl-NL"/>
        </w:rPr>
        <w:t xml:space="preserve">thực hiện </w:t>
      </w:r>
      <w:r w:rsidR="0081750E" w:rsidRPr="00C32334">
        <w:rPr>
          <w:rFonts w:ascii="Times New Roman" w:hAnsi="Times New Roman"/>
          <w:b/>
          <w:spacing w:val="-2"/>
          <w:lang w:val="nl-NL"/>
        </w:rPr>
        <w:t xml:space="preserve">Nghị định số 146/2018/NĐ-CP </w:t>
      </w:r>
    </w:p>
    <w:p w14:paraId="16087165" w14:textId="77777777" w:rsidR="00C466B4" w:rsidRPr="00C32334" w:rsidRDefault="0081750E" w:rsidP="00C466B4">
      <w:pPr>
        <w:jc w:val="center"/>
        <w:rPr>
          <w:rFonts w:ascii="Times New Roman" w:hAnsi="Times New Roman"/>
          <w:b/>
          <w:lang w:val="nl-NL"/>
        </w:rPr>
      </w:pPr>
      <w:r w:rsidRPr="00C32334">
        <w:rPr>
          <w:rFonts w:ascii="Times New Roman" w:hAnsi="Times New Roman"/>
          <w:b/>
          <w:spacing w:val="-2"/>
          <w:lang w:val="nl-NL"/>
        </w:rPr>
        <w:t xml:space="preserve">ngày 17 tháng 10 năm 2018 </w:t>
      </w:r>
      <w:r w:rsidR="00C466B4" w:rsidRPr="00C32334">
        <w:rPr>
          <w:rFonts w:ascii="Times New Roman" w:hAnsi="Times New Roman"/>
          <w:b/>
          <w:lang w:val="nl-NL"/>
        </w:rPr>
        <w:t xml:space="preserve">và Nghị định số 75/2023/NĐ-CP </w:t>
      </w:r>
    </w:p>
    <w:p w14:paraId="32B6D23F" w14:textId="6CC109A7" w:rsidR="0081750E" w:rsidRPr="00C32334" w:rsidRDefault="00C466B4" w:rsidP="00C466B4">
      <w:pPr>
        <w:jc w:val="center"/>
        <w:rPr>
          <w:rFonts w:ascii="Times New Roman" w:hAnsi="Times New Roman"/>
          <w:b/>
          <w:spacing w:val="-2"/>
          <w:lang w:val="nl-NL"/>
        </w:rPr>
      </w:pPr>
      <w:r w:rsidRPr="00C32334">
        <w:rPr>
          <w:rFonts w:ascii="Times New Roman" w:hAnsi="Times New Roman"/>
          <w:b/>
          <w:lang w:val="nl-NL"/>
        </w:rPr>
        <w:t>ngày 19 tháng 10 năm 2023 sửa đổi, bổ sung một số điều của Nghị định số 146/2018/NĐ-CP</w:t>
      </w:r>
      <w:r w:rsidRPr="00C32334">
        <w:rPr>
          <w:rFonts w:ascii="Times New Roman" w:hAnsi="Times New Roman"/>
          <w:b/>
          <w:spacing w:val="-2"/>
          <w:lang w:val="nl-NL"/>
        </w:rPr>
        <w:t xml:space="preserve"> </w:t>
      </w:r>
      <w:r w:rsidR="0081750E" w:rsidRPr="00C32334">
        <w:rPr>
          <w:rFonts w:ascii="Times New Roman" w:hAnsi="Times New Roman"/>
          <w:b/>
          <w:spacing w:val="-2"/>
          <w:lang w:val="nl-NL"/>
        </w:rPr>
        <w:t xml:space="preserve">của Chính phủ </w:t>
      </w:r>
      <w:r w:rsidR="00A21090" w:rsidRPr="00C32334">
        <w:rPr>
          <w:rFonts w:ascii="Times New Roman" w:hAnsi="Times New Roman"/>
          <w:b/>
          <w:spacing w:val="-2"/>
          <w:lang w:val="nl-NL"/>
        </w:rPr>
        <w:t xml:space="preserve">quy </w:t>
      </w:r>
      <w:r w:rsidR="0081750E" w:rsidRPr="00C32334">
        <w:rPr>
          <w:rFonts w:ascii="Times New Roman" w:hAnsi="Times New Roman"/>
          <w:b/>
          <w:spacing w:val="-2"/>
          <w:lang w:val="nl-NL"/>
        </w:rPr>
        <w:t xml:space="preserve">định chi tiết và hướng dẫn biện pháp thi hành một số điều của Luật Bảo hiểm y tế  </w:t>
      </w:r>
    </w:p>
    <w:p w14:paraId="555550A6" w14:textId="01303D96" w:rsidR="007E7312" w:rsidRPr="00C32334" w:rsidRDefault="007E7312" w:rsidP="00C466B4">
      <w:pPr>
        <w:jc w:val="center"/>
        <w:rPr>
          <w:rFonts w:ascii="Times New Roman" w:hAnsi="Times New Roman"/>
          <w:b/>
          <w:lang w:val="nl-NL"/>
        </w:rPr>
      </w:pPr>
      <w:r w:rsidRPr="007E7312">
        <w:rPr>
          <w:rFonts w:ascii="Times New Roman" w:hAnsi="Times New Roman"/>
          <w:bCs/>
          <w:noProof/>
          <w:spacing w:val="-2"/>
        </w:rPr>
        <mc:AlternateContent>
          <mc:Choice Requires="wps">
            <w:drawing>
              <wp:anchor distT="0" distB="0" distL="114300" distR="114300" simplePos="0" relativeHeight="251662848" behindDoc="0" locked="0" layoutInCell="1" allowOverlap="1" wp14:anchorId="15DE878E" wp14:editId="697CE8ED">
                <wp:simplePos x="0" y="0"/>
                <wp:positionH relativeFrom="column">
                  <wp:posOffset>-813435</wp:posOffset>
                </wp:positionH>
                <wp:positionV relativeFrom="paragraph">
                  <wp:posOffset>179705</wp:posOffset>
                </wp:positionV>
                <wp:extent cx="1352550" cy="558800"/>
                <wp:effectExtent l="0" t="0" r="19050" b="12700"/>
                <wp:wrapNone/>
                <wp:docPr id="1566940088" name="Rectangle 4"/>
                <wp:cNvGraphicFramePr/>
                <a:graphic xmlns:a="http://schemas.openxmlformats.org/drawingml/2006/main">
                  <a:graphicData uri="http://schemas.microsoft.com/office/word/2010/wordprocessingShape">
                    <wps:wsp>
                      <wps:cNvSpPr/>
                      <wps:spPr>
                        <a:xfrm>
                          <a:off x="0" y="0"/>
                          <a:ext cx="1352550" cy="558800"/>
                        </a:xfrm>
                        <a:prstGeom prst="rect">
                          <a:avLst/>
                        </a:prstGeom>
                      </wps:spPr>
                      <wps:style>
                        <a:lnRef idx="2">
                          <a:schemeClr val="dk1"/>
                        </a:lnRef>
                        <a:fillRef idx="1">
                          <a:schemeClr val="lt1"/>
                        </a:fillRef>
                        <a:effectRef idx="0">
                          <a:schemeClr val="dk1"/>
                        </a:effectRef>
                        <a:fontRef idx="minor">
                          <a:schemeClr val="dk1"/>
                        </a:fontRef>
                      </wps:style>
                      <wps:txbx>
                        <w:txbxContent>
                          <w:p w14:paraId="295F3729" w14:textId="1B72C381" w:rsidR="00BC396A" w:rsidRPr="00F51B2B" w:rsidRDefault="00BC396A" w:rsidP="00BC396A">
                            <w:pPr>
                              <w:jc w:val="center"/>
                              <w:rPr>
                                <w:rFonts w:ascii="Times New Roman" w:hAnsi="Times New Roman"/>
                                <w:b/>
                                <w:bCs/>
                              </w:rPr>
                            </w:pPr>
                            <w:r w:rsidRPr="00F51B2B">
                              <w:rPr>
                                <w:rFonts w:ascii="Times New Roman" w:hAnsi="Times New Roman"/>
                                <w:b/>
                                <w:bCs/>
                              </w:rPr>
                              <w:t xml:space="preserve">DỰ THẢO </w:t>
                            </w:r>
                          </w:p>
                          <w:p w14:paraId="44D3E641" w14:textId="2C683596" w:rsidR="00BC396A" w:rsidRPr="00F51B2B" w:rsidRDefault="00BC396A" w:rsidP="00BC396A">
                            <w:pPr>
                              <w:jc w:val="center"/>
                              <w:rPr>
                                <w:rFonts w:ascii="Times New Roman" w:hAnsi="Times New Roman"/>
                                <w:b/>
                                <w:bCs/>
                              </w:rPr>
                            </w:pPr>
                            <w:r w:rsidRPr="00F51B2B">
                              <w:rPr>
                                <w:rFonts w:ascii="Times New Roman" w:hAnsi="Times New Roman"/>
                                <w:b/>
                                <w:bCs/>
                              </w:rPr>
                              <w:t xml:space="preserve">Ngày </w:t>
                            </w:r>
                            <w:r w:rsidR="001228DC">
                              <w:rPr>
                                <w:rFonts w:ascii="Times New Roman" w:hAnsi="Times New Roman"/>
                                <w:b/>
                                <w:bCs/>
                              </w:rPr>
                              <w:t>30</w:t>
                            </w:r>
                            <w:r w:rsidRPr="00F51B2B">
                              <w:rPr>
                                <w:rFonts w:ascii="Times New Roman" w:hAnsi="Times New Roman"/>
                                <w:b/>
                                <w:bCs/>
                              </w:rPr>
                              <w:t>.</w:t>
                            </w:r>
                            <w:r w:rsidR="001C09C2">
                              <w:rPr>
                                <w:rFonts w:ascii="Times New Roman" w:hAnsi="Times New Roman"/>
                                <w:b/>
                                <w:bCs/>
                              </w:rPr>
                              <w:t>1</w:t>
                            </w:r>
                            <w:r w:rsidR="001228DC">
                              <w:rPr>
                                <w:rFonts w:ascii="Times New Roman" w:hAnsi="Times New Roman"/>
                                <w:b/>
                                <w:bC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E878E" id="Rectangle 4" o:spid="_x0000_s1026" style="position:absolute;left:0;text-align:left;margin-left:-64.05pt;margin-top:14.15pt;width:106.5pt;height: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2lUAIAAO8EAAAOAAAAZHJzL2Uyb0RvYy54bWysVMFu2zAMvQ/YPwi6r46zZsuCOkXQosOA&#10;oA2aDj0rstQYk0WNUmJnXz9KdpyiC3YYdpFFkY8Unx59dd3Whu0V+gpswfOLEWfKSigr+1Lw7093&#10;H6ac+SBsKQxYVfCD8vx6/v7dVeNmagxbMKVCRkmsnzWu4NsQ3CzLvNyqWvgLcMqSUwPWIpCJL1mJ&#10;oqHstcnGo9GnrAEsHYJU3tPpbefk85RfayXDg9ZeBWYKTncLacW0buKaza/E7AWF21ayv4b4h1vU&#10;orJUdEh1K4JgO6z+SFVXEsGDDhcS6gy0rqRKPVA3+ehNN+utcCr1QuR4N9Dk/19aeb9fuxUSDY3z&#10;M0/b2EWrsY5fuh9rE1mHgSzVBibpMP84GU8mxKkk32QynY4Sm9kJ7dCHrwpqFjcFR3qMxJHYL32g&#10;ihR6DCHjVD/twsGoeAVjH5VmVUkVxwmdpKFuDLK9oEctf+TxESlXiowQXRkzgPJzIBOOoD42wlSS&#10;ywAcnQOeqg3RqSLYMADrygL+Hay7+GPXXa+x7dBu2v4tNlAeVsgQOs16J+8q4nEpfFgJJJES9TR4&#10;4YEWbaApOPQ7zraAv86dx3jSDnk5a0j0Bfc/dwIVZ+abJVV9yS8v45Qk43LyeUwGvvZsXnvsrr4B&#10;eoKcRtzJtI3xwRy3GqF+pvlcxKrkElZS7YLLgEfjJnTDSBMu1WKRwmgynAhLu3YyJo8ER508tc8C&#10;XS+mQDK8h+OAiNkbTXWxEWlhsQugqyS4SHHHa089TVXSTv8HiGP72k5Rp//U/DcAAAD//wMAUEsD&#10;BBQABgAIAAAAIQCWEz6t3wAAAAoBAAAPAAAAZHJzL2Rvd25yZXYueG1sTI9BT4QwEIXvJv6HZky8&#10;7RZYQ1ikbAyJMdGTuB68dekIRDoltMuCv97xpMfJ+/LeN8VhsYOYcfK9IwXxNgKB1DjTU6vg+Pa4&#10;yUD4oMnowREqWNHDoby+KnRu3IVeca5DK7iEfK4VdCGMuZS+6dBqv3UjEmefbrI68Dm10kz6wuV2&#10;kEkUpdLqnnih0yNWHTZf9dkqeFllmI/v6f57rvrV1B/V0zNWSt3eLA/3IAIu4Q+GX31Wh5KdTu5M&#10;xotBwSZOsphZBUm2A8FEdrcHcWIyTncgy0L+f6H8AQAA//8DAFBLAQItABQABgAIAAAAIQC2gziS&#10;/gAAAOEBAAATAAAAAAAAAAAAAAAAAAAAAABbQ29udGVudF9UeXBlc10ueG1sUEsBAi0AFAAGAAgA&#10;AAAhADj9If/WAAAAlAEAAAsAAAAAAAAAAAAAAAAALwEAAF9yZWxzLy5yZWxzUEsBAi0AFAAGAAgA&#10;AAAhAD7FTaVQAgAA7wQAAA4AAAAAAAAAAAAAAAAALgIAAGRycy9lMm9Eb2MueG1sUEsBAi0AFAAG&#10;AAgAAAAhAJYTPq3fAAAACgEAAA8AAAAAAAAAAAAAAAAAqgQAAGRycy9kb3ducmV2LnhtbFBLBQYA&#10;AAAABAAEAPMAAAC2BQAAAAA=&#10;" fillcolor="white [3201]" strokecolor="black [3200]" strokeweight="2pt">
                <v:textbox>
                  <w:txbxContent>
                    <w:p w14:paraId="295F3729" w14:textId="1B72C381" w:rsidR="00BC396A" w:rsidRPr="00F51B2B" w:rsidRDefault="00BC396A" w:rsidP="00BC396A">
                      <w:pPr>
                        <w:jc w:val="center"/>
                        <w:rPr>
                          <w:rFonts w:ascii="Times New Roman" w:hAnsi="Times New Roman"/>
                          <w:b/>
                          <w:bCs/>
                        </w:rPr>
                      </w:pPr>
                      <w:r w:rsidRPr="00F51B2B">
                        <w:rPr>
                          <w:rFonts w:ascii="Times New Roman" w:hAnsi="Times New Roman"/>
                          <w:b/>
                          <w:bCs/>
                        </w:rPr>
                        <w:t xml:space="preserve">DỰ THẢO </w:t>
                      </w:r>
                    </w:p>
                    <w:p w14:paraId="44D3E641" w14:textId="2C683596" w:rsidR="00BC396A" w:rsidRPr="00F51B2B" w:rsidRDefault="00BC396A" w:rsidP="00BC396A">
                      <w:pPr>
                        <w:jc w:val="center"/>
                        <w:rPr>
                          <w:rFonts w:ascii="Times New Roman" w:hAnsi="Times New Roman"/>
                          <w:b/>
                          <w:bCs/>
                        </w:rPr>
                      </w:pPr>
                      <w:r w:rsidRPr="00F51B2B">
                        <w:rPr>
                          <w:rFonts w:ascii="Times New Roman" w:hAnsi="Times New Roman"/>
                          <w:b/>
                          <w:bCs/>
                        </w:rPr>
                        <w:t xml:space="preserve">Ngày </w:t>
                      </w:r>
                      <w:r w:rsidR="001228DC">
                        <w:rPr>
                          <w:rFonts w:ascii="Times New Roman" w:hAnsi="Times New Roman"/>
                          <w:b/>
                          <w:bCs/>
                        </w:rPr>
                        <w:t>30</w:t>
                      </w:r>
                      <w:r w:rsidRPr="00F51B2B">
                        <w:rPr>
                          <w:rFonts w:ascii="Times New Roman" w:hAnsi="Times New Roman"/>
                          <w:b/>
                          <w:bCs/>
                        </w:rPr>
                        <w:t>.</w:t>
                      </w:r>
                      <w:r w:rsidR="001C09C2">
                        <w:rPr>
                          <w:rFonts w:ascii="Times New Roman" w:hAnsi="Times New Roman"/>
                          <w:b/>
                          <w:bCs/>
                        </w:rPr>
                        <w:t>1</w:t>
                      </w:r>
                      <w:r w:rsidR="001228DC">
                        <w:rPr>
                          <w:rFonts w:ascii="Times New Roman" w:hAnsi="Times New Roman"/>
                          <w:b/>
                          <w:bCs/>
                        </w:rPr>
                        <w:t>1</w:t>
                      </w:r>
                    </w:p>
                  </w:txbxContent>
                </v:textbox>
              </v:rect>
            </w:pict>
          </mc:Fallback>
        </mc:AlternateContent>
      </w:r>
      <w:r w:rsidRPr="00C32334">
        <w:rPr>
          <w:rFonts w:ascii="Times New Roman" w:hAnsi="Times New Roman"/>
          <w:bCs/>
          <w:spacing w:val="-2"/>
          <w:lang w:val="nl-NL"/>
        </w:rPr>
        <w:t>(</w:t>
      </w:r>
      <w:r w:rsidRPr="00C32334">
        <w:rPr>
          <w:rFonts w:ascii="Times New Roman" w:hAnsi="Times New Roman"/>
          <w:bCs/>
          <w:i/>
          <w:iCs/>
          <w:spacing w:val="-2"/>
          <w:lang w:val="nl-NL"/>
        </w:rPr>
        <w:t>kèm theo Tờ trình số …/TTr-BYT ngày….. /1</w:t>
      </w:r>
      <w:r w:rsidR="001228DC" w:rsidRPr="00C32334">
        <w:rPr>
          <w:rFonts w:ascii="Times New Roman" w:hAnsi="Times New Roman"/>
          <w:bCs/>
          <w:i/>
          <w:iCs/>
          <w:spacing w:val="-2"/>
          <w:lang w:val="nl-NL"/>
        </w:rPr>
        <w:t>2</w:t>
      </w:r>
      <w:r w:rsidRPr="00C32334">
        <w:rPr>
          <w:rFonts w:ascii="Times New Roman" w:hAnsi="Times New Roman"/>
          <w:bCs/>
          <w:i/>
          <w:iCs/>
          <w:spacing w:val="-2"/>
          <w:lang w:val="nl-NL"/>
        </w:rPr>
        <w:t>/2024 của Bộ Y tế</w:t>
      </w:r>
      <w:r w:rsidRPr="00C32334">
        <w:rPr>
          <w:rFonts w:ascii="Times New Roman" w:hAnsi="Times New Roman"/>
          <w:b/>
          <w:i/>
          <w:iCs/>
          <w:spacing w:val="-2"/>
          <w:lang w:val="nl-NL"/>
        </w:rPr>
        <w:t>)</w:t>
      </w:r>
    </w:p>
    <w:p w14:paraId="6943CD82" w14:textId="1244AB46" w:rsidR="00156F25" w:rsidRPr="00C32334" w:rsidRDefault="00871050" w:rsidP="00CA3BDE">
      <w:pPr>
        <w:spacing w:before="60" w:line="247" w:lineRule="auto"/>
        <w:jc w:val="center"/>
        <w:rPr>
          <w:rFonts w:ascii="Times New Roman" w:hAnsi="Times New Roman"/>
          <w:b/>
          <w:spacing w:val="-2"/>
          <w:lang w:val="nl-NL"/>
        </w:rPr>
      </w:pPr>
      <w:r w:rsidRPr="00CA3BDE">
        <w:rPr>
          <w:rFonts w:ascii="Times New Roman" w:hAnsi="Times New Roman"/>
          <w:b/>
          <w:noProof/>
          <w:spacing w:val="-2"/>
        </w:rPr>
        <mc:AlternateContent>
          <mc:Choice Requires="wps">
            <w:drawing>
              <wp:anchor distT="4294967295" distB="4294967295" distL="114300" distR="114300" simplePos="0" relativeHeight="251655680" behindDoc="0" locked="0" layoutInCell="1" allowOverlap="1" wp14:anchorId="0B263D29" wp14:editId="6DB32FE4">
                <wp:simplePos x="0" y="0"/>
                <wp:positionH relativeFrom="column">
                  <wp:posOffset>2213654</wp:posOffset>
                </wp:positionH>
                <wp:positionV relativeFrom="paragraph">
                  <wp:posOffset>15240</wp:posOffset>
                </wp:positionV>
                <wp:extent cx="125730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1A4F0" id="_x0000_t32" coordsize="21600,21600" o:spt="32" o:oned="t" path="m,l21600,21600e" filled="f">
                <v:path arrowok="t" fillok="f" o:connecttype="none"/>
                <o:lock v:ext="edit" shapetype="t"/>
              </v:shapetype>
              <v:shape id="AutoShape 4" o:spid="_x0000_s1026" type="#_x0000_t32" style="position:absolute;margin-left:174.3pt;margin-top:1.2pt;width:99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CJmuAEAAFYDAAAOAAAAZHJzL2Uyb0RvYy54bWysU01v2zAMvQ/YfxB0X2xnyD6MOD2k6y7d&#10;FqDdD2Bk2RYqiwKpxM6/n6QmabHdhvogUCL5+PhIr2/m0YqjJjboGlktSim0U9ga1zfy9+Pdhy9S&#10;cADXgkWnG3nSLG8279+tJ1/rJQ5oW00igjiuJ9/IIQRfFwWrQY/AC/TaRWeHNEKIV+qLlmCK6KMt&#10;lmX5qZiQWk+oNHN8vX12yk3G7zqtwq+uYx2EbWTkFvJJ+dyns9isoe4J/GDUmQb8B4sRjItFr1C3&#10;EEAcyPwDNRpFyNiFhcKxwK4zSuceYjdV+Vc3DwN4nXuJ4rC/ysRvB6t+HrduR4m6mt2Dv0f1xMLh&#10;dgDX60zg8eTj4KokVTF5rq8p6cJ+R2I//cA2xsAhYFZh7mhMkLE/MWexT1ex9RyEio/VcvX5Yxln&#10;oi6+AupLoicO3zWOIhmN5EBg+iFs0bk4UqQql4HjPYdEC+pLQqrq8M5YmydrnZga+XW1XOUERmva&#10;5ExhTP1+a0kcIe1G/nKP0fM6jPDg2gw2aGi/ne0Axj7bsbh1Z2mSGmn1uN5je9rRRbI4vMzyvGhp&#10;O17fc/bL77D5AwAA//8DAFBLAwQUAAYACAAAACEAHoR43NsAAAAHAQAADwAAAGRycy9kb3ducmV2&#10;LnhtbEyOwU7DMBBE70j8g7VIvSDqNKRRCXGqqhIHjrSVuLrxkqSN11HsNKFfz8KlHJ9mNPPy9WRb&#10;ccHeN44ULOYRCKTSmYYqBYf929MKhA+ajG4doYJv9LAu7u9ynRk30gdedqESPEI+0wrqELpMSl/W&#10;aLWfuw6Jsy/XWx0Y+0qaXo88blsZR1EqrW6IH2rd4bbG8rwbrAL0w3IRbV5sdXi/jo+f8fU0dnul&#10;Zg/T5hVEwCncyvCrz+pQsNPRDWS8aBU8J6uUqwriBATnyyRlPv6xLHL537/4AQAA//8DAFBLAQIt&#10;ABQABgAIAAAAIQC2gziS/gAAAOEBAAATAAAAAAAAAAAAAAAAAAAAAABbQ29udGVudF9UeXBlc10u&#10;eG1sUEsBAi0AFAAGAAgAAAAhADj9If/WAAAAlAEAAAsAAAAAAAAAAAAAAAAALwEAAF9yZWxzLy5y&#10;ZWxzUEsBAi0AFAAGAAgAAAAhAKNMIma4AQAAVgMAAA4AAAAAAAAAAAAAAAAALgIAAGRycy9lMm9E&#10;b2MueG1sUEsBAi0AFAAGAAgAAAAhAB6EeNzbAAAABwEAAA8AAAAAAAAAAAAAAAAAEgQAAGRycy9k&#10;b3ducmV2LnhtbFBLBQYAAAAABAAEAPMAAAAaBQAAAAA=&#10;"/>
            </w:pict>
          </mc:Fallback>
        </mc:AlternateContent>
      </w:r>
    </w:p>
    <w:p w14:paraId="6C527EE3" w14:textId="77777777" w:rsidR="00355BAB" w:rsidRPr="00CA3BDE" w:rsidRDefault="00355BAB" w:rsidP="00CA3BDE">
      <w:pPr>
        <w:spacing w:before="60" w:line="247" w:lineRule="auto"/>
        <w:ind w:firstLine="720"/>
        <w:jc w:val="both"/>
        <w:rPr>
          <w:rFonts w:ascii="Times New Roman" w:hAnsi="Times New Roman"/>
          <w:spacing w:val="-2"/>
          <w:lang w:val="vi-VN"/>
        </w:rPr>
      </w:pPr>
    </w:p>
    <w:p w14:paraId="04503A39" w14:textId="5684ADC1" w:rsidR="007745C9" w:rsidRPr="00C32334" w:rsidRDefault="005764D4" w:rsidP="00EE2A8D">
      <w:pPr>
        <w:spacing w:before="120" w:after="120"/>
        <w:ind w:firstLine="851"/>
        <w:jc w:val="both"/>
        <w:rPr>
          <w:rFonts w:ascii="Times New Roman" w:hAnsi="Times New Roman"/>
          <w:spacing w:val="-2"/>
          <w:lang w:val="vi-VN"/>
        </w:rPr>
      </w:pPr>
      <w:r w:rsidRPr="00C32334">
        <w:rPr>
          <w:rFonts w:ascii="Times New Roman" w:hAnsi="Times New Roman"/>
          <w:spacing w:val="-2"/>
          <w:lang w:val="vi-VN"/>
        </w:rPr>
        <w:t>Theo</w:t>
      </w:r>
      <w:r w:rsidR="007745C9" w:rsidRPr="00C32334">
        <w:rPr>
          <w:rFonts w:ascii="Times New Roman" w:hAnsi="Times New Roman"/>
          <w:spacing w:val="-2"/>
          <w:lang w:val="vi-VN"/>
        </w:rPr>
        <w:t xml:space="preserve"> quy định của Luật bảo hiểm y tế số 46/2014/QH13 ngày 13 tháng 6 năm 2014 của Quốc hội khóa XIII sửa đổi, bổ sung một số điều của Luật bảo hiểm y tế năm 2008, Chính phủ đã ban hành Nghị định số 105/2014/NĐ-CP ngày 15 tháng 11 năm 2014</w:t>
      </w:r>
      <w:r w:rsidR="00C32334" w:rsidRPr="00AC7746">
        <w:rPr>
          <w:rFonts w:ascii="Times New Roman" w:hAnsi="Times New Roman"/>
          <w:spacing w:val="-2"/>
          <w:lang w:val="vi-VN"/>
        </w:rPr>
        <w:t>;</w:t>
      </w:r>
      <w:r w:rsidR="007745C9" w:rsidRPr="00C32334">
        <w:rPr>
          <w:rFonts w:ascii="Times New Roman" w:hAnsi="Times New Roman"/>
          <w:spacing w:val="-2"/>
          <w:lang w:val="vi-VN"/>
        </w:rPr>
        <w:t xml:space="preserve"> Nghị định số 146/2018/NĐ-CP ngày 17 tháng 10 năm 2018 quy định chi tiết và hướng dẫn biện pháp thi hành một số điều của Luật bảo hiểm y tế (</w:t>
      </w:r>
      <w:r w:rsidR="007745C9" w:rsidRPr="00CA3BDE">
        <w:rPr>
          <w:rFonts w:ascii="Times New Roman" w:hAnsi="Times New Roman"/>
          <w:spacing w:val="-2"/>
          <w:lang w:val="vi-VN"/>
        </w:rPr>
        <w:t>thay thế</w:t>
      </w:r>
      <w:r w:rsidR="007745C9" w:rsidRPr="00C32334">
        <w:rPr>
          <w:rFonts w:ascii="Times New Roman" w:hAnsi="Times New Roman"/>
          <w:spacing w:val="-2"/>
          <w:lang w:val="vi-VN"/>
        </w:rPr>
        <w:t xml:space="preserve"> Nghị định số 105/2014/NĐ-CP)</w:t>
      </w:r>
      <w:r w:rsidR="00C32334" w:rsidRPr="00AC7746">
        <w:rPr>
          <w:rFonts w:ascii="Times New Roman" w:hAnsi="Times New Roman"/>
          <w:spacing w:val="-2"/>
          <w:lang w:val="vi-VN"/>
        </w:rPr>
        <w:t>;</w:t>
      </w:r>
      <w:r w:rsidR="007745C9" w:rsidRPr="00C32334">
        <w:rPr>
          <w:rFonts w:ascii="Times New Roman" w:hAnsi="Times New Roman"/>
          <w:spacing w:val="-2"/>
          <w:lang w:val="vi-VN"/>
        </w:rPr>
        <w:t>Chính phủ ban hành Nghị định số 75/2023/NĐ-CP</w:t>
      </w:r>
      <w:r w:rsidR="00C32334" w:rsidRPr="00AC7746">
        <w:rPr>
          <w:rFonts w:ascii="Times New Roman" w:hAnsi="Times New Roman"/>
          <w:spacing w:val="-2"/>
          <w:lang w:val="vi-VN"/>
        </w:rPr>
        <w:t xml:space="preserve"> ngày 19 tháng 10 năm 2023</w:t>
      </w:r>
      <w:r w:rsidR="007745C9" w:rsidRPr="00C32334">
        <w:rPr>
          <w:rFonts w:ascii="Times New Roman" w:hAnsi="Times New Roman"/>
          <w:spacing w:val="-2"/>
          <w:lang w:val="vi-VN"/>
        </w:rPr>
        <w:t xml:space="preserve"> sửa đổi bổ sung một số điều của Nghị định số 146/2018/NĐ-CP Chính phủ quy định chi tiết và hướng dẫn biện pháp thi hành một số điều của Luật Bảo hiểm y tế.  </w:t>
      </w:r>
    </w:p>
    <w:p w14:paraId="14D652E2" w14:textId="61B2B3F1" w:rsidR="007745C9" w:rsidRPr="00C32334" w:rsidRDefault="007745C9" w:rsidP="00EE2A8D">
      <w:pPr>
        <w:spacing w:before="120" w:after="120"/>
        <w:ind w:firstLine="851"/>
        <w:jc w:val="both"/>
        <w:rPr>
          <w:rFonts w:ascii="Times New Roman" w:hAnsi="Times New Roman"/>
          <w:spacing w:val="-2"/>
          <w:lang w:val="vi-VN"/>
        </w:rPr>
      </w:pPr>
      <w:r w:rsidRPr="00C32334">
        <w:rPr>
          <w:rFonts w:ascii="Times New Roman" w:hAnsi="Times New Roman"/>
          <w:spacing w:val="-2"/>
          <w:lang w:val="vi-VN"/>
        </w:rPr>
        <w:t xml:space="preserve">Căn cứ Luật ban hành văn bản quy phạm pháp luật năm 2015, Nghị định số 34/2016/NĐ-CP ngày 14 tháng 5 năm 2016 của Chính phủ quy định chi tiết một số điều và biện pháp thi hành Luật ban hành văn bản quy phạm pháp luật; </w:t>
      </w:r>
      <w:bookmarkStart w:id="0" w:name="_Hlk181005856"/>
      <w:r w:rsidR="00935CCA" w:rsidRPr="00C32334">
        <w:rPr>
          <w:rFonts w:ascii="Times New Roman" w:hAnsi="Times New Roman"/>
          <w:spacing w:val="-2"/>
          <w:lang w:val="vi-VN"/>
        </w:rPr>
        <w:t>t</w:t>
      </w:r>
      <w:r w:rsidRPr="00C32334">
        <w:rPr>
          <w:rFonts w:ascii="Times New Roman" w:hAnsi="Times New Roman"/>
          <w:spacing w:val="-2"/>
          <w:lang w:val="vi-VN"/>
        </w:rPr>
        <w:t>heo Quyết định số 53/QĐ-TTg ngày 15/01/2024 của Thủ tướng Chính phủ ban hành Chương trình công tác năm 2024 của Chính phủ, Thủ tướng Chính phủ</w:t>
      </w:r>
      <w:bookmarkEnd w:id="0"/>
      <w:r w:rsidRPr="00C32334">
        <w:rPr>
          <w:rFonts w:ascii="Times New Roman" w:hAnsi="Times New Roman"/>
          <w:spacing w:val="-2"/>
          <w:lang w:val="vi-VN"/>
        </w:rPr>
        <w:t>, t</w:t>
      </w:r>
      <w:r w:rsidRPr="00910BC1">
        <w:rPr>
          <w:rFonts w:ascii="Times New Roman" w:hAnsi="Times New Roman"/>
          <w:bCs/>
          <w:lang w:val="fr-FR"/>
        </w:rPr>
        <w:t>hực hiện quy định trong Luật khám bệnh, chữa bệnh năm 2023</w:t>
      </w:r>
      <w:r>
        <w:rPr>
          <w:rFonts w:ascii="Times New Roman" w:hAnsi="Times New Roman"/>
          <w:bCs/>
          <w:lang w:val="fr-FR"/>
        </w:rPr>
        <w:t xml:space="preserve"> về cấp chuyên môn kỹ thuật; </w:t>
      </w:r>
      <w:r w:rsidRPr="00C32334">
        <w:rPr>
          <w:rFonts w:ascii="Times New Roman" w:hAnsi="Times New Roman"/>
          <w:spacing w:val="-2"/>
          <w:lang w:val="vi-VN"/>
        </w:rPr>
        <w:t xml:space="preserve">đồng thời, để khắc phục </w:t>
      </w:r>
      <w:r w:rsidR="00231E42" w:rsidRPr="00C32334">
        <w:rPr>
          <w:rFonts w:ascii="Times New Roman" w:hAnsi="Times New Roman"/>
          <w:spacing w:val="-2"/>
          <w:lang w:val="vi-VN"/>
        </w:rPr>
        <w:t>một số</w:t>
      </w:r>
      <w:r w:rsidRPr="00C32334">
        <w:rPr>
          <w:rFonts w:ascii="Times New Roman" w:hAnsi="Times New Roman"/>
          <w:spacing w:val="-2"/>
          <w:lang w:val="vi-VN"/>
        </w:rPr>
        <w:t xml:space="preserve"> khó khăn, vướng mắc trong quá trình tổ chức thực hiện chính sách, pháp luật về bảo hiểm y tế, Bộ Y tế báo cáo tổng kết, đánh giá kết quả thực hiện Nghị định số 146/2018/NĐ-CP ngày 17 tháng 10 năm 2018 và Nghị định số 75/2023/NĐ-CP ngày 19 tháng 10 năm 2023 sửa đổi bổ sung một số điều của Nghị định số 146/2018/NĐ-CP Chính phủ quy định chi tiết và hướng dẫn biện pháp thi hành một số điều của Luật Bảo hiểm y tế làm cơ sở đề xuất sửa đổi, bổ sung cho phù hợp. Cụ thể như sau:</w:t>
      </w:r>
    </w:p>
    <w:p w14:paraId="311A0976" w14:textId="2BBD797F" w:rsidR="003873F6" w:rsidRPr="00C32334" w:rsidRDefault="003873F6" w:rsidP="00EE2A8D">
      <w:pPr>
        <w:widowControl w:val="0"/>
        <w:spacing w:before="120" w:after="120"/>
        <w:ind w:firstLine="851"/>
        <w:jc w:val="both"/>
        <w:rPr>
          <w:rFonts w:ascii="Times New Roman" w:hAnsi="Times New Roman"/>
          <w:b/>
          <w:spacing w:val="-2"/>
          <w:lang w:val="vi-VN"/>
        </w:rPr>
      </w:pPr>
      <w:r w:rsidRPr="00CA3BDE">
        <w:rPr>
          <w:rFonts w:ascii="Times New Roman" w:hAnsi="Times New Roman"/>
          <w:b/>
          <w:spacing w:val="-2"/>
          <w:lang w:val="vi-VN"/>
        </w:rPr>
        <w:t xml:space="preserve">I. </w:t>
      </w:r>
      <w:r w:rsidR="007A1862" w:rsidRPr="00CA3BDE">
        <w:rPr>
          <w:rFonts w:ascii="Times New Roman" w:hAnsi="Times New Roman"/>
          <w:b/>
          <w:spacing w:val="-2"/>
          <w:lang w:val="vi-VN"/>
        </w:rPr>
        <w:t>Quá trình tổ chức thực hiện Nghị định</w:t>
      </w:r>
      <w:r w:rsidR="00376E0A" w:rsidRPr="00C32334">
        <w:rPr>
          <w:rFonts w:ascii="Times New Roman" w:hAnsi="Times New Roman"/>
          <w:b/>
          <w:spacing w:val="-2"/>
          <w:lang w:val="vi-VN"/>
        </w:rPr>
        <w:t xml:space="preserve"> 146/2018/NĐ-CP</w:t>
      </w:r>
    </w:p>
    <w:p w14:paraId="4EE9AF0D" w14:textId="1EB715C6" w:rsidR="004817D6" w:rsidRPr="00CA3BDE" w:rsidRDefault="00917195" w:rsidP="00EE2A8D">
      <w:pPr>
        <w:spacing w:before="120" w:after="120"/>
        <w:ind w:firstLine="851"/>
        <w:jc w:val="both"/>
        <w:rPr>
          <w:rFonts w:ascii="Times New Roman" w:hAnsi="Times New Roman"/>
          <w:b/>
          <w:spacing w:val="-2"/>
          <w:lang w:val="vi-VN"/>
        </w:rPr>
      </w:pPr>
      <w:r w:rsidRPr="00CA3BDE">
        <w:rPr>
          <w:rFonts w:ascii="Times New Roman" w:hAnsi="Times New Roman"/>
          <w:b/>
          <w:spacing w:val="-2"/>
          <w:lang w:val="vi-VN"/>
        </w:rPr>
        <w:t>1.</w:t>
      </w:r>
      <w:r w:rsidR="004817D6" w:rsidRPr="00CA3BDE">
        <w:rPr>
          <w:rFonts w:ascii="Times New Roman" w:hAnsi="Times New Roman"/>
          <w:b/>
          <w:spacing w:val="-2"/>
          <w:lang w:val="vi-VN"/>
        </w:rPr>
        <w:t xml:space="preserve"> Ban hành các văn bản quy phạm pháp luật </w:t>
      </w:r>
    </w:p>
    <w:p w14:paraId="2F09126B" w14:textId="0F9212B0" w:rsidR="00E72478" w:rsidRPr="00C32334" w:rsidRDefault="00917195" w:rsidP="00EE2A8D">
      <w:pPr>
        <w:spacing w:before="120" w:after="120"/>
        <w:ind w:firstLine="851"/>
        <w:jc w:val="both"/>
        <w:rPr>
          <w:rFonts w:ascii="Times New Roman" w:hAnsi="Times New Roman"/>
          <w:lang w:val="vi-VN"/>
        </w:rPr>
      </w:pPr>
      <w:r w:rsidRPr="00A425F1">
        <w:rPr>
          <w:rFonts w:ascii="Times New Roman" w:hAnsi="Times New Roman"/>
          <w:lang w:val="vi-VN"/>
        </w:rPr>
        <w:t>Ngay sau khi Luật</w:t>
      </w:r>
      <w:r w:rsidR="005764D4" w:rsidRPr="00C32334">
        <w:rPr>
          <w:rFonts w:ascii="Times New Roman" w:hAnsi="Times New Roman"/>
          <w:lang w:val="vi-VN"/>
        </w:rPr>
        <w:t xml:space="preserve"> sửa đổi, bổ sung một số điều của</w:t>
      </w:r>
      <w:r w:rsidRPr="00A425F1">
        <w:rPr>
          <w:rFonts w:ascii="Times New Roman" w:hAnsi="Times New Roman"/>
          <w:lang w:val="vi-VN"/>
        </w:rPr>
        <w:t xml:space="preserve"> </w:t>
      </w:r>
      <w:r w:rsidR="005764D4" w:rsidRPr="00C32334">
        <w:rPr>
          <w:rFonts w:ascii="Times New Roman" w:hAnsi="Times New Roman"/>
          <w:spacing w:val="-2"/>
          <w:lang w:val="vi-VN"/>
        </w:rPr>
        <w:t xml:space="preserve">Luật bảo hiểm y tế số 46/2014/QH13 </w:t>
      </w:r>
      <w:r w:rsidR="009953DD" w:rsidRPr="00A425F1">
        <w:rPr>
          <w:rFonts w:ascii="Times New Roman" w:hAnsi="Times New Roman"/>
          <w:lang w:val="vi-VN"/>
        </w:rPr>
        <w:t>được Quốc hội thông qua</w:t>
      </w:r>
      <w:r w:rsidR="00A21090" w:rsidRPr="00C32334">
        <w:rPr>
          <w:rFonts w:ascii="Times New Roman" w:hAnsi="Times New Roman"/>
          <w:lang w:val="vi-VN"/>
        </w:rPr>
        <w:t>,</w:t>
      </w:r>
      <w:r w:rsidR="00523504" w:rsidRPr="00C32334">
        <w:rPr>
          <w:rFonts w:ascii="Times New Roman" w:hAnsi="Times New Roman"/>
          <w:lang w:val="vi-VN"/>
        </w:rPr>
        <w:t xml:space="preserve"> thực hiện quy định của Luật,</w:t>
      </w:r>
      <w:r w:rsidR="00A21090" w:rsidRPr="00C32334">
        <w:rPr>
          <w:rFonts w:ascii="Times New Roman" w:hAnsi="Times New Roman"/>
          <w:lang w:val="vi-VN"/>
        </w:rPr>
        <w:t xml:space="preserve"> Chính phủ đã ban hành Nghị định số 105/2014/NĐ-CP ngày 15 tháng 11 năm 2014</w:t>
      </w:r>
      <w:r w:rsidR="0092476B" w:rsidRPr="00C32334">
        <w:rPr>
          <w:rFonts w:ascii="Times New Roman" w:hAnsi="Times New Roman"/>
          <w:lang w:val="vi-VN"/>
        </w:rPr>
        <w:t xml:space="preserve">, </w:t>
      </w:r>
      <w:r w:rsidR="00523504" w:rsidRPr="00C32334">
        <w:rPr>
          <w:rFonts w:ascii="Times New Roman" w:hAnsi="Times New Roman"/>
          <w:lang w:val="vi-VN"/>
        </w:rPr>
        <w:t>sau</w:t>
      </w:r>
      <w:r w:rsidR="0092476B" w:rsidRPr="00C32334">
        <w:rPr>
          <w:rFonts w:ascii="Times New Roman" w:hAnsi="Times New Roman"/>
          <w:lang w:val="vi-VN"/>
        </w:rPr>
        <w:t xml:space="preserve"> đó </w:t>
      </w:r>
      <w:r w:rsidR="0092476B" w:rsidRPr="00C32334">
        <w:rPr>
          <w:rFonts w:ascii="Times New Roman" w:hAnsi="Times New Roman"/>
          <w:lang w:val="vi-VN"/>
        </w:rPr>
        <w:lastRenderedPageBreak/>
        <w:t>là</w:t>
      </w:r>
      <w:r w:rsidR="00DB6E83" w:rsidRPr="00A425F1">
        <w:rPr>
          <w:rFonts w:ascii="Times New Roman" w:hAnsi="Times New Roman"/>
          <w:lang w:val="vi-VN"/>
        </w:rPr>
        <w:t xml:space="preserve"> </w:t>
      </w:r>
      <w:r w:rsidR="00DB6E83" w:rsidRPr="00C32334">
        <w:rPr>
          <w:rFonts w:ascii="Times New Roman" w:hAnsi="Times New Roman"/>
          <w:lang w:val="vi-VN"/>
        </w:rPr>
        <w:t>Nghị định số 146/2018/NĐ-CP ngày 17 tháng 10 năm 2018</w:t>
      </w:r>
      <w:r w:rsidR="00DB6E83" w:rsidRPr="00A425F1">
        <w:rPr>
          <w:rFonts w:ascii="Times New Roman" w:hAnsi="Times New Roman"/>
          <w:lang w:val="vi-VN"/>
        </w:rPr>
        <w:t xml:space="preserve"> (</w:t>
      </w:r>
      <w:r w:rsidR="00DB6E83" w:rsidRPr="00C32334">
        <w:rPr>
          <w:rFonts w:ascii="Times New Roman" w:hAnsi="Times New Roman"/>
          <w:lang w:val="vi-VN"/>
        </w:rPr>
        <w:t>thay thế Nghị định số 105/2014/NĐ-CP</w:t>
      </w:r>
      <w:r w:rsidR="00DB6E83" w:rsidRPr="00A425F1">
        <w:rPr>
          <w:rFonts w:ascii="Times New Roman" w:hAnsi="Times New Roman"/>
          <w:lang w:val="vi-VN"/>
        </w:rPr>
        <w:t>)</w:t>
      </w:r>
      <w:r w:rsidR="00DB6E83" w:rsidRPr="00C32334">
        <w:rPr>
          <w:rFonts w:ascii="Times New Roman" w:hAnsi="Times New Roman"/>
          <w:lang w:val="vi-VN"/>
        </w:rPr>
        <w:t xml:space="preserve"> </w:t>
      </w:r>
      <w:r w:rsidR="00DB6E83" w:rsidRPr="00A425F1">
        <w:rPr>
          <w:rFonts w:ascii="Times New Roman" w:hAnsi="Times New Roman"/>
          <w:lang w:val="vi-VN"/>
        </w:rPr>
        <w:t>q</w:t>
      </w:r>
      <w:r w:rsidR="00FC3574" w:rsidRPr="00C32334">
        <w:rPr>
          <w:rFonts w:ascii="Times New Roman" w:hAnsi="Times New Roman"/>
          <w:lang w:val="vi-VN"/>
        </w:rPr>
        <w:t xml:space="preserve">uy định chi tiết và hướng dẫn biện pháp thi hành một số điều của Luật </w:t>
      </w:r>
      <w:r w:rsidR="00DB6E83" w:rsidRPr="00A425F1">
        <w:rPr>
          <w:rFonts w:ascii="Times New Roman" w:hAnsi="Times New Roman"/>
          <w:lang w:val="vi-VN"/>
        </w:rPr>
        <w:t>BHYT</w:t>
      </w:r>
      <w:r w:rsidR="00471A01" w:rsidRPr="00A425F1">
        <w:rPr>
          <w:rFonts w:ascii="Times New Roman" w:hAnsi="Times New Roman"/>
          <w:lang w:val="vi-VN"/>
        </w:rPr>
        <w:t xml:space="preserve">, </w:t>
      </w:r>
      <w:r w:rsidRPr="00A425F1">
        <w:rPr>
          <w:rFonts w:ascii="Times New Roman" w:hAnsi="Times New Roman"/>
          <w:lang w:val="vi-VN"/>
        </w:rPr>
        <w:t xml:space="preserve">Bộ Y tế đã </w:t>
      </w:r>
      <w:r w:rsidR="0092476B" w:rsidRPr="00C32334">
        <w:rPr>
          <w:rFonts w:ascii="Times New Roman" w:hAnsi="Times New Roman"/>
          <w:lang w:val="vi-VN"/>
        </w:rPr>
        <w:t xml:space="preserve">chủ trì, </w:t>
      </w:r>
      <w:r w:rsidRPr="00A425F1">
        <w:rPr>
          <w:rFonts w:ascii="Times New Roman" w:hAnsi="Times New Roman"/>
          <w:lang w:val="vi-VN"/>
        </w:rPr>
        <w:t xml:space="preserve">phối hợp với các Bộ, ngành và Bảo hiểm xã hội Việt Nam xây dựng </w:t>
      </w:r>
      <w:r w:rsidR="00CB462E" w:rsidRPr="00C32334">
        <w:rPr>
          <w:rFonts w:ascii="Times New Roman" w:hAnsi="Times New Roman"/>
          <w:lang w:val="vi-VN"/>
        </w:rPr>
        <w:t>các</w:t>
      </w:r>
      <w:r w:rsidR="000216DF" w:rsidRPr="00A425F1">
        <w:rPr>
          <w:rFonts w:ascii="Times New Roman" w:hAnsi="Times New Roman"/>
          <w:lang w:val="vi-VN"/>
        </w:rPr>
        <w:t xml:space="preserve"> </w:t>
      </w:r>
      <w:r w:rsidR="00CC209E" w:rsidRPr="00A425F1">
        <w:rPr>
          <w:rFonts w:ascii="Times New Roman" w:hAnsi="Times New Roman"/>
          <w:lang w:val="vi-VN"/>
        </w:rPr>
        <w:t>Thông tư</w:t>
      </w:r>
      <w:r w:rsidR="00DB6E83" w:rsidRPr="00A425F1">
        <w:rPr>
          <w:rFonts w:ascii="Times New Roman" w:hAnsi="Times New Roman"/>
          <w:lang w:val="vi-VN"/>
        </w:rPr>
        <w:t xml:space="preserve"> (chi tiết theo </w:t>
      </w:r>
      <w:r w:rsidR="00DB6E83" w:rsidRPr="00C32334">
        <w:rPr>
          <w:rFonts w:ascii="Times New Roman" w:hAnsi="Times New Roman"/>
          <w:lang w:val="vi-VN"/>
        </w:rPr>
        <w:t>phụ lục đính kèm) và các văn bản hướng dẫn triển khai tổ chức thực hiện chính sách, pháp luật về BHYT</w:t>
      </w:r>
      <w:r w:rsidR="00A73E14" w:rsidRPr="00A425F1">
        <w:rPr>
          <w:rFonts w:ascii="Times New Roman" w:hAnsi="Times New Roman"/>
          <w:lang w:val="vi-VN"/>
        </w:rPr>
        <w:t>;</w:t>
      </w:r>
      <w:r w:rsidR="0014042F" w:rsidRPr="00C32334">
        <w:rPr>
          <w:rFonts w:ascii="Times New Roman" w:hAnsi="Times New Roman"/>
          <w:lang w:val="vi-VN"/>
        </w:rPr>
        <w:t xml:space="preserve"> </w:t>
      </w:r>
      <w:r w:rsidR="00E72478" w:rsidRPr="00C32334">
        <w:rPr>
          <w:rFonts w:ascii="Times New Roman" w:hAnsi="Times New Roman"/>
          <w:lang w:val="vi-VN"/>
        </w:rPr>
        <w:t>trình Thủ tướng Chính phủ ban hành Chỉ thị số 05/CT-TTg ngày 02</w:t>
      </w:r>
      <w:r w:rsidR="00DA0538" w:rsidRPr="00C32334">
        <w:rPr>
          <w:rFonts w:ascii="Times New Roman" w:hAnsi="Times New Roman"/>
          <w:lang w:val="vi-VN"/>
        </w:rPr>
        <w:t xml:space="preserve"> tháng </w:t>
      </w:r>
      <w:r w:rsidR="00E72478" w:rsidRPr="00C32334">
        <w:rPr>
          <w:rFonts w:ascii="Times New Roman" w:hAnsi="Times New Roman"/>
          <w:lang w:val="vi-VN"/>
        </w:rPr>
        <w:t>4</w:t>
      </w:r>
      <w:r w:rsidR="00DA0538" w:rsidRPr="00C32334">
        <w:rPr>
          <w:rFonts w:ascii="Times New Roman" w:hAnsi="Times New Roman"/>
          <w:lang w:val="vi-VN"/>
        </w:rPr>
        <w:t xml:space="preserve"> năm </w:t>
      </w:r>
      <w:r w:rsidR="00E72478" w:rsidRPr="00C32334">
        <w:rPr>
          <w:rFonts w:ascii="Times New Roman" w:hAnsi="Times New Roman"/>
          <w:lang w:val="vi-VN"/>
        </w:rPr>
        <w:t xml:space="preserve">2015 về tăng cường thực hiện chính sách </w:t>
      </w:r>
      <w:r w:rsidR="0092476B" w:rsidRPr="00C32334">
        <w:rPr>
          <w:rFonts w:ascii="Times New Roman" w:hAnsi="Times New Roman"/>
          <w:lang w:val="vi-VN"/>
        </w:rPr>
        <w:t>b</w:t>
      </w:r>
      <w:r w:rsidR="00E72478" w:rsidRPr="00C32334">
        <w:rPr>
          <w:rFonts w:ascii="Times New Roman" w:hAnsi="Times New Roman"/>
          <w:lang w:val="vi-VN"/>
        </w:rPr>
        <w:t>ảo hiểm xã hội và bảo hiểm y tế; Quyết định số 1167/QĐ-TTg ngày 28</w:t>
      </w:r>
      <w:r w:rsidR="00DA0538" w:rsidRPr="00C32334">
        <w:rPr>
          <w:rFonts w:ascii="Times New Roman" w:hAnsi="Times New Roman"/>
          <w:lang w:val="vi-VN"/>
        </w:rPr>
        <w:t xml:space="preserve"> tháng </w:t>
      </w:r>
      <w:r w:rsidR="00E72478" w:rsidRPr="00C32334">
        <w:rPr>
          <w:rFonts w:ascii="Times New Roman" w:hAnsi="Times New Roman"/>
          <w:lang w:val="vi-VN"/>
        </w:rPr>
        <w:t>6</w:t>
      </w:r>
      <w:r w:rsidR="00DA0538" w:rsidRPr="00C32334">
        <w:rPr>
          <w:rFonts w:ascii="Times New Roman" w:hAnsi="Times New Roman"/>
          <w:lang w:val="vi-VN"/>
        </w:rPr>
        <w:t xml:space="preserve"> năm </w:t>
      </w:r>
      <w:r w:rsidR="00E72478" w:rsidRPr="00C32334">
        <w:rPr>
          <w:rFonts w:ascii="Times New Roman" w:hAnsi="Times New Roman"/>
          <w:lang w:val="vi-VN"/>
        </w:rPr>
        <w:t>2016 về việc điều chỉnh giao chỉ tiêu thực hiện bảo hiểm y tế giai đoạn 2016</w:t>
      </w:r>
      <w:r w:rsidR="00DA0538" w:rsidRPr="00C32334">
        <w:rPr>
          <w:rFonts w:ascii="Times New Roman" w:hAnsi="Times New Roman"/>
          <w:lang w:val="vi-VN"/>
        </w:rPr>
        <w:t xml:space="preserve"> </w:t>
      </w:r>
      <w:r w:rsidR="00E72478" w:rsidRPr="00C32334">
        <w:rPr>
          <w:rFonts w:ascii="Times New Roman" w:hAnsi="Times New Roman"/>
          <w:lang w:val="vi-VN"/>
        </w:rPr>
        <w:t>-</w:t>
      </w:r>
      <w:r w:rsidR="00DA0538" w:rsidRPr="00C32334">
        <w:rPr>
          <w:rFonts w:ascii="Times New Roman" w:hAnsi="Times New Roman"/>
          <w:lang w:val="vi-VN"/>
        </w:rPr>
        <w:t xml:space="preserve"> </w:t>
      </w:r>
      <w:r w:rsidR="00E72478" w:rsidRPr="00C32334">
        <w:rPr>
          <w:rFonts w:ascii="Times New Roman" w:hAnsi="Times New Roman"/>
          <w:lang w:val="vi-VN"/>
        </w:rPr>
        <w:t>2020 với chỉ tiêu có trên 90% dân số tham gia bảo hiểm y tế (cao hơn chỉ tiêu được Quốc hội giao tại Nghị quyết số 68/2013/QH13)</w:t>
      </w:r>
      <w:r w:rsidR="00912625" w:rsidRPr="00C32334">
        <w:rPr>
          <w:rFonts w:ascii="Times New Roman" w:hAnsi="Times New Roman"/>
          <w:lang w:val="vi-VN"/>
        </w:rPr>
        <w:t>, Quyết định số 546/QĐ-TTg ngày 29 tháng 4 năm 2022 của Thủ tướng Chính phủ về việc giao chỉ tiêu thực hiện bao phủ BHYT giai đoạn 2022</w:t>
      </w:r>
      <w:r w:rsidR="00E3508A" w:rsidRPr="00C32334">
        <w:rPr>
          <w:rFonts w:ascii="Times New Roman" w:hAnsi="Times New Roman"/>
          <w:lang w:val="vi-VN"/>
        </w:rPr>
        <w:t xml:space="preserve"> </w:t>
      </w:r>
      <w:r w:rsidR="00912625" w:rsidRPr="00C32334">
        <w:rPr>
          <w:rFonts w:ascii="Times New Roman" w:hAnsi="Times New Roman"/>
          <w:lang w:val="vi-VN"/>
        </w:rPr>
        <w:t>-</w:t>
      </w:r>
      <w:r w:rsidR="00E3508A" w:rsidRPr="00C32334">
        <w:rPr>
          <w:rFonts w:ascii="Times New Roman" w:hAnsi="Times New Roman"/>
          <w:lang w:val="vi-VN"/>
        </w:rPr>
        <w:t xml:space="preserve"> </w:t>
      </w:r>
      <w:r w:rsidR="00912625" w:rsidRPr="00C32334">
        <w:rPr>
          <w:rFonts w:ascii="Times New Roman" w:hAnsi="Times New Roman"/>
          <w:lang w:val="vi-VN"/>
        </w:rPr>
        <w:t>2025</w:t>
      </w:r>
      <w:r w:rsidR="00E72478" w:rsidRPr="00C32334">
        <w:rPr>
          <w:rFonts w:ascii="Times New Roman" w:hAnsi="Times New Roman"/>
          <w:lang w:val="vi-VN"/>
        </w:rPr>
        <w:t>.</w:t>
      </w:r>
    </w:p>
    <w:p w14:paraId="0C8F75F9" w14:textId="7C54FD2D" w:rsidR="00170B5D" w:rsidRPr="00C32334" w:rsidRDefault="0092476B" w:rsidP="00EE2A8D">
      <w:pPr>
        <w:spacing w:before="120" w:after="120"/>
        <w:ind w:firstLine="851"/>
        <w:jc w:val="both"/>
        <w:rPr>
          <w:rFonts w:ascii="Times New Roman" w:hAnsi="Times New Roman"/>
          <w:spacing w:val="-2"/>
          <w:lang w:val="vi-VN"/>
        </w:rPr>
      </w:pPr>
      <w:r w:rsidRPr="00CA3BDE">
        <w:rPr>
          <w:rFonts w:ascii="Times New Roman" w:hAnsi="Times New Roman"/>
          <w:spacing w:val="-2"/>
          <w:lang w:val="es-ES_tradnl"/>
        </w:rPr>
        <w:t>Ngoài ra, t</w:t>
      </w:r>
      <w:r w:rsidR="00E72478" w:rsidRPr="00CA3BDE">
        <w:rPr>
          <w:rFonts w:ascii="Times New Roman" w:hAnsi="Times New Roman"/>
          <w:spacing w:val="-2"/>
          <w:lang w:val="es-ES_tradnl"/>
        </w:rPr>
        <w:t xml:space="preserve">rong quá trình thực hiện </w:t>
      </w:r>
      <w:r w:rsidR="00A73E14" w:rsidRPr="00CA3BDE">
        <w:rPr>
          <w:rFonts w:ascii="Times New Roman" w:hAnsi="Times New Roman"/>
          <w:spacing w:val="-2"/>
          <w:lang w:val="vi-VN"/>
        </w:rPr>
        <w:t>Nghị định</w:t>
      </w:r>
      <w:r w:rsidR="00E72478" w:rsidRPr="00CA3BDE">
        <w:rPr>
          <w:rFonts w:ascii="Times New Roman" w:hAnsi="Times New Roman"/>
          <w:spacing w:val="-2"/>
          <w:lang w:val="es-ES_tradnl"/>
        </w:rPr>
        <w:t xml:space="preserve"> và các văn bản quy phạm pháp luật về bảo hiểm y tế, Bộ Y tế</w:t>
      </w:r>
      <w:r w:rsidR="00DB6E83" w:rsidRPr="00CA3BDE">
        <w:rPr>
          <w:rFonts w:ascii="Times New Roman" w:hAnsi="Times New Roman"/>
          <w:spacing w:val="-2"/>
          <w:lang w:val="vi-VN"/>
        </w:rPr>
        <w:t xml:space="preserve"> đã </w:t>
      </w:r>
      <w:r w:rsidR="00912625" w:rsidRPr="00CA3BDE">
        <w:rPr>
          <w:rFonts w:ascii="Times New Roman" w:hAnsi="Times New Roman"/>
          <w:spacing w:val="-2"/>
          <w:lang w:val="es-ES_tradnl"/>
        </w:rPr>
        <w:t>chủ trì, phối hợp với</w:t>
      </w:r>
      <w:r w:rsidR="005D1B3D">
        <w:rPr>
          <w:rFonts w:ascii="Times New Roman" w:hAnsi="Times New Roman"/>
          <w:spacing w:val="-2"/>
          <w:lang w:val="es-ES_tradnl"/>
        </w:rPr>
        <w:t xml:space="preserve"> </w:t>
      </w:r>
      <w:r w:rsidR="005D1B3D" w:rsidRPr="00CA3BDE">
        <w:rPr>
          <w:rFonts w:ascii="Times New Roman" w:hAnsi="Times New Roman"/>
          <w:spacing w:val="-2"/>
          <w:lang w:val="es-ES_tradnl"/>
        </w:rPr>
        <w:t>Bảo hiểm xã hội Việt Nam</w:t>
      </w:r>
      <w:r w:rsidR="005D1B3D">
        <w:rPr>
          <w:rFonts w:ascii="Times New Roman" w:hAnsi="Times New Roman"/>
          <w:spacing w:val="-2"/>
          <w:lang w:val="es-ES_tradnl"/>
        </w:rPr>
        <w:t xml:space="preserve"> và</w:t>
      </w:r>
      <w:r w:rsidR="008856FD">
        <w:rPr>
          <w:rFonts w:ascii="Times New Roman" w:hAnsi="Times New Roman"/>
          <w:spacing w:val="-2"/>
          <w:lang w:val="es-ES_tradnl"/>
        </w:rPr>
        <w:t xml:space="preserve"> </w:t>
      </w:r>
      <w:r w:rsidR="00E72478" w:rsidRPr="00CA3BDE">
        <w:rPr>
          <w:rFonts w:ascii="Times New Roman" w:hAnsi="Times New Roman"/>
          <w:spacing w:val="-2"/>
          <w:lang w:val="es-ES_tradnl"/>
        </w:rPr>
        <w:t>các Bộ</w:t>
      </w:r>
      <w:r w:rsidR="005D1B3D">
        <w:rPr>
          <w:rFonts w:ascii="Times New Roman" w:hAnsi="Times New Roman"/>
          <w:spacing w:val="-2"/>
          <w:lang w:val="es-ES_tradnl"/>
        </w:rPr>
        <w:t xml:space="preserve"> có liên quan</w:t>
      </w:r>
      <w:r w:rsidR="00912625" w:rsidRPr="00CA3BDE">
        <w:rPr>
          <w:rFonts w:ascii="Times New Roman" w:hAnsi="Times New Roman"/>
          <w:spacing w:val="-2"/>
          <w:lang w:val="es-ES_tradnl"/>
        </w:rPr>
        <w:t xml:space="preserve"> </w:t>
      </w:r>
      <w:r w:rsidR="00E72478" w:rsidRPr="00CA3BDE">
        <w:rPr>
          <w:rFonts w:ascii="Times New Roman" w:hAnsi="Times New Roman"/>
          <w:spacing w:val="-2"/>
          <w:lang w:val="es-ES_tradnl"/>
        </w:rPr>
        <w:t>đã ban hành các công văn hướng dẫn</w:t>
      </w:r>
      <w:r w:rsidR="00251127">
        <w:rPr>
          <w:rFonts w:ascii="Times New Roman" w:hAnsi="Times New Roman"/>
          <w:spacing w:val="-2"/>
          <w:lang w:val="es-ES_tradnl"/>
        </w:rPr>
        <w:t>, tổ chức thực hiện</w:t>
      </w:r>
      <w:r w:rsidR="006F530D" w:rsidRPr="00C32334">
        <w:rPr>
          <w:rFonts w:ascii="Times New Roman" w:hAnsi="Times New Roman"/>
          <w:spacing w:val="-2"/>
          <w:lang w:val="vi-VN"/>
        </w:rPr>
        <w:t xml:space="preserve">, như </w:t>
      </w:r>
      <w:r w:rsidR="001508AA" w:rsidRPr="00CA3BDE">
        <w:rPr>
          <w:rFonts w:ascii="Times New Roman" w:hAnsi="Times New Roman"/>
          <w:spacing w:val="-2"/>
          <w:lang w:val="nl-NL"/>
        </w:rPr>
        <w:t>Bộ trưởng Bộ Y tế đã ban hành Quyết định số 7603/QĐ-BYT ngày 25 tháng 12 năm 2018 quy định mã danh mục dùng chung áp dụng trong quản lý khám</w:t>
      </w:r>
      <w:r w:rsidR="006F530D" w:rsidRPr="00CA3BDE">
        <w:rPr>
          <w:rFonts w:ascii="Times New Roman" w:hAnsi="Times New Roman"/>
          <w:spacing w:val="-2"/>
          <w:lang w:val="nl-NL"/>
        </w:rPr>
        <w:t xml:space="preserve"> bệnh</w:t>
      </w:r>
      <w:r w:rsidR="001508AA" w:rsidRPr="00CA3BDE">
        <w:rPr>
          <w:rFonts w:ascii="Times New Roman" w:hAnsi="Times New Roman"/>
          <w:spacing w:val="-2"/>
          <w:lang w:val="nl-NL"/>
        </w:rPr>
        <w:t>, chữa bệnh và thanh toán bảo hiểm y tế (Phiên bản số 6); (2)</w:t>
      </w:r>
      <w:r w:rsidR="001508AA" w:rsidRPr="00CA3BDE">
        <w:rPr>
          <w:rFonts w:ascii="Times New Roman" w:hAnsi="Times New Roman"/>
          <w:spacing w:val="-2"/>
          <w:lang w:val="vi-VN"/>
        </w:rPr>
        <w:t xml:space="preserve"> Q</w:t>
      </w:r>
      <w:r w:rsidR="001508AA" w:rsidRPr="00CA3BDE">
        <w:rPr>
          <w:rFonts w:ascii="Times New Roman" w:hAnsi="Times New Roman"/>
          <w:spacing w:val="-2"/>
          <w:lang w:val="nl-NL"/>
        </w:rPr>
        <w:t>uyết định số 6556/QĐ-BYT ngày 30 tháng 10 năm 2018 của Bộ trưởng Bộ Y tế ban hành Mẫu bảng kê chi phí khám bệnh, chữa bệnh sử dụng tại các cơ sở khám bệnh, chữa bệnh</w:t>
      </w:r>
      <w:r w:rsidRPr="00CA3BDE">
        <w:rPr>
          <w:rFonts w:ascii="Times New Roman" w:hAnsi="Times New Roman"/>
          <w:spacing w:val="-2"/>
          <w:lang w:val="nl-NL"/>
        </w:rPr>
        <w:t>; Quyết định số 5086/QĐ-BYT ngày 04 tháng 11 năm 2021 về mã hãng và mã vật tư y tế</w:t>
      </w:r>
      <w:r w:rsidR="00121F24">
        <w:rPr>
          <w:rFonts w:ascii="Times New Roman" w:hAnsi="Times New Roman"/>
          <w:spacing w:val="-2"/>
          <w:lang w:val="nl-NL"/>
        </w:rPr>
        <w:t xml:space="preserve">, </w:t>
      </w:r>
      <w:bookmarkStart w:id="1" w:name="dieu_1_name"/>
      <w:r w:rsidR="00121F24" w:rsidRPr="00C32334">
        <w:rPr>
          <w:rFonts w:ascii="Times New Roman" w:hAnsi="Times New Roman"/>
          <w:spacing w:val="-2"/>
          <w:lang w:val="vi-VN"/>
        </w:rPr>
        <w:t>Quyết định số </w:t>
      </w:r>
      <w:bookmarkEnd w:id="1"/>
      <w:r w:rsidR="00121F24" w:rsidRPr="00C32334">
        <w:rPr>
          <w:rFonts w:ascii="Times New Roman" w:hAnsi="Times New Roman"/>
          <w:spacing w:val="-2"/>
          <w:lang w:val="vi-VN"/>
        </w:rPr>
        <w:t>130/QĐ-BYT ngày 18 tháng 01 năm 2023 của Bộ Y tế quy định chuẩn và định dạng dữ liệu đầu ra phục vụ việc quản lý, giám định, thanh toán chi phí khám bệnh, chữa bệnh và giải quyết các chế độ liên quan</w:t>
      </w:r>
      <w:r w:rsidR="00E53D7A" w:rsidRPr="00C32334">
        <w:rPr>
          <w:rFonts w:ascii="Times New Roman" w:hAnsi="Times New Roman"/>
          <w:spacing w:val="-2"/>
          <w:lang w:val="vi-VN"/>
        </w:rPr>
        <w:t>…</w:t>
      </w:r>
    </w:p>
    <w:p w14:paraId="71B1AB8F" w14:textId="21C3F460" w:rsidR="00170B5D" w:rsidRPr="00C32334" w:rsidRDefault="00170B5D" w:rsidP="00EE2A8D">
      <w:pPr>
        <w:spacing w:before="120" w:after="120"/>
        <w:ind w:firstLine="851"/>
        <w:jc w:val="both"/>
        <w:rPr>
          <w:rFonts w:ascii="Times New Roman" w:hAnsi="Times New Roman"/>
          <w:spacing w:val="-2"/>
          <w:lang w:val="vi-VN"/>
        </w:rPr>
      </w:pPr>
      <w:r w:rsidRPr="00C32334">
        <w:rPr>
          <w:rFonts w:ascii="Times New Roman" w:hAnsi="Times New Roman"/>
          <w:spacing w:val="-2"/>
          <w:lang w:val="vi-VN"/>
        </w:rPr>
        <w:t>Ngày 19 tháng 10 năm 2023, Bộ Y tế đã trình Chính phủ ban hành Nghị định số 75/2023/NĐ-CP sửa đổi bổ sung một số điều của Nghị định số 146/2018/NĐ-CP Chính phủ quy định chi tiết và hướng dẫn biện pháp thi hành một số điều của Luật Bảo hiểm y tế</w:t>
      </w:r>
      <w:r w:rsidR="00523504" w:rsidRPr="00C32334">
        <w:rPr>
          <w:rFonts w:ascii="Times New Roman" w:hAnsi="Times New Roman"/>
          <w:spacing w:val="-2"/>
          <w:lang w:val="vi-VN"/>
        </w:rPr>
        <w:t xml:space="preserve"> để giải quyết một số khó khăn, bất cập trong Nghị định số 146/2018/NĐ-CP</w:t>
      </w:r>
      <w:r w:rsidR="00E53D7A" w:rsidRPr="00C32334">
        <w:rPr>
          <w:rFonts w:ascii="Times New Roman" w:hAnsi="Times New Roman"/>
          <w:spacing w:val="-2"/>
          <w:lang w:val="vi-VN"/>
        </w:rPr>
        <w:t xml:space="preserve"> của Chính phủ</w:t>
      </w:r>
      <w:r w:rsidR="00523504" w:rsidRPr="00C32334">
        <w:rPr>
          <w:rFonts w:ascii="Times New Roman" w:hAnsi="Times New Roman"/>
          <w:spacing w:val="-2"/>
          <w:lang w:val="vi-VN"/>
        </w:rPr>
        <w:t>.</w:t>
      </w:r>
    </w:p>
    <w:p w14:paraId="4998F673" w14:textId="3B0A9B0F" w:rsidR="00E72478" w:rsidRPr="00CA3BDE" w:rsidRDefault="00C32334" w:rsidP="00EE2A8D">
      <w:pPr>
        <w:spacing w:before="120" w:after="120"/>
        <w:ind w:firstLine="851"/>
        <w:jc w:val="both"/>
        <w:rPr>
          <w:rFonts w:ascii="Times New Roman" w:hAnsi="Times New Roman"/>
          <w:spacing w:val="-2"/>
          <w:lang w:val="es-ES_tradnl"/>
        </w:rPr>
      </w:pPr>
      <w:r>
        <w:rPr>
          <w:rFonts w:ascii="Times New Roman" w:hAnsi="Times New Roman"/>
          <w:spacing w:val="-2"/>
          <w:lang w:val="es-ES_tradnl"/>
        </w:rPr>
        <w:t>C</w:t>
      </w:r>
      <w:r w:rsidR="00E72478" w:rsidRPr="00CA3BDE">
        <w:rPr>
          <w:rFonts w:ascii="Times New Roman" w:hAnsi="Times New Roman"/>
          <w:spacing w:val="-2"/>
          <w:lang w:val="es-ES_tradnl"/>
        </w:rPr>
        <w:t>ác văn bản quy phạm pháp luật, văn bản chỉ đạo, hướng dẫn thực hiện Luật bảo hiểm y tế</w:t>
      </w:r>
      <w:r w:rsidR="00343EFA" w:rsidRPr="00CA3BDE">
        <w:rPr>
          <w:rFonts w:ascii="Times New Roman" w:hAnsi="Times New Roman"/>
          <w:spacing w:val="-2"/>
          <w:lang w:val="vi-VN"/>
        </w:rPr>
        <w:t>, Nghị định số 146/2018/NĐ-CP</w:t>
      </w:r>
      <w:r w:rsidR="00E53D7A" w:rsidRPr="00C32334">
        <w:rPr>
          <w:rFonts w:ascii="Times New Roman" w:hAnsi="Times New Roman"/>
          <w:spacing w:val="-2"/>
          <w:lang w:val="vi-VN"/>
        </w:rPr>
        <w:t xml:space="preserve"> của Chính phủ</w:t>
      </w:r>
      <w:r w:rsidR="00E72478" w:rsidRPr="00CA3BDE">
        <w:rPr>
          <w:rFonts w:ascii="Times New Roman" w:hAnsi="Times New Roman"/>
          <w:spacing w:val="-2"/>
          <w:lang w:val="es-ES_tradnl"/>
        </w:rPr>
        <w:t xml:space="preserve"> được ban hành kịp thời, đồng bộ, đảm bảo chất lượng và đáp ứng các yêu cầu trong tổ chức thực hiện chính sách bảo hiểm y tế. </w:t>
      </w:r>
    </w:p>
    <w:p w14:paraId="2B9F94D1" w14:textId="2B233645" w:rsidR="00D04C98" w:rsidRPr="00764373" w:rsidRDefault="00735986" w:rsidP="00EE2A8D">
      <w:pPr>
        <w:spacing w:before="120" w:after="120"/>
        <w:ind w:firstLine="851"/>
        <w:jc w:val="both"/>
        <w:rPr>
          <w:rFonts w:ascii="Times New Roman" w:hAnsi="Times New Roman"/>
          <w:b/>
          <w:spacing w:val="-6"/>
          <w:lang w:val="vi-VN"/>
        </w:rPr>
      </w:pPr>
      <w:r w:rsidRPr="00764373">
        <w:rPr>
          <w:rFonts w:ascii="Times New Roman" w:hAnsi="Times New Roman"/>
          <w:b/>
          <w:spacing w:val="-6"/>
          <w:lang w:val="vi-VN"/>
        </w:rPr>
        <w:t>2.</w:t>
      </w:r>
      <w:r w:rsidR="00D04C98" w:rsidRPr="00764373">
        <w:rPr>
          <w:rFonts w:ascii="Times New Roman" w:hAnsi="Times New Roman"/>
          <w:b/>
          <w:spacing w:val="-6"/>
          <w:lang w:val="vi-VN"/>
        </w:rPr>
        <w:t xml:space="preserve"> Công tác phổ biến, tuyên truyền</w:t>
      </w:r>
      <w:r w:rsidR="00D04C98" w:rsidRPr="00764373">
        <w:rPr>
          <w:rFonts w:ascii="Times New Roman" w:eastAsia=".VnTime" w:hAnsi="Times New Roman"/>
          <w:b/>
          <w:spacing w:val="-6"/>
          <w:lang w:val="nl-NL"/>
        </w:rPr>
        <w:t xml:space="preserve"> </w:t>
      </w:r>
      <w:r w:rsidR="004C5023" w:rsidRPr="00764373">
        <w:rPr>
          <w:rFonts w:ascii="Times New Roman" w:eastAsia=".VnTime" w:hAnsi="Times New Roman"/>
          <w:b/>
          <w:spacing w:val="-6"/>
          <w:lang w:val="vi-VN"/>
        </w:rPr>
        <w:t>chính sách</w:t>
      </w:r>
      <w:r w:rsidR="00023FEE" w:rsidRPr="00764373">
        <w:rPr>
          <w:rFonts w:ascii="Times New Roman" w:eastAsia=".VnTime" w:hAnsi="Times New Roman"/>
          <w:b/>
          <w:spacing w:val="-6"/>
          <w:lang w:val="nl-NL"/>
        </w:rPr>
        <w:t xml:space="preserve"> pháp luật</w:t>
      </w:r>
      <w:r w:rsidR="004C5023" w:rsidRPr="00764373">
        <w:rPr>
          <w:rFonts w:ascii="Times New Roman" w:eastAsia=".VnTime" w:hAnsi="Times New Roman"/>
          <w:b/>
          <w:spacing w:val="-6"/>
          <w:lang w:val="vi-VN"/>
        </w:rPr>
        <w:t xml:space="preserve"> về bảo hiểm y tế</w:t>
      </w:r>
    </w:p>
    <w:p w14:paraId="489E385B" w14:textId="77777777" w:rsidR="00A425F1" w:rsidRPr="00A425F1" w:rsidRDefault="00A425F1" w:rsidP="00EE2A8D">
      <w:pPr>
        <w:spacing w:before="120" w:after="120"/>
        <w:ind w:firstLine="720"/>
        <w:jc w:val="both"/>
        <w:rPr>
          <w:rFonts w:ascii="Times New Roman" w:hAnsi="Times New Roman"/>
          <w:lang w:val="pt-BR"/>
        </w:rPr>
      </w:pPr>
      <w:r w:rsidRPr="00A425F1">
        <w:rPr>
          <w:rFonts w:ascii="Times New Roman" w:hAnsi="Times New Roman"/>
          <w:lang w:val="pt-BR"/>
        </w:rPr>
        <w:t>Chính phủ đã chỉ đạo Bộ Y tế thực hiện công tác tuyên truyền trong phạm vi chức năng nhiệm vụ của mình, Thủ tướng Chính phủ giao BHXH Việt Nam chủ trì, phối hợp với các Bộ, ngành có liên quan thực hiện việc tuyên truyền, phát triển BHYT, tiến tới BHYT toàn dân.</w:t>
      </w:r>
    </w:p>
    <w:p w14:paraId="78E4E395" w14:textId="77777777" w:rsidR="00A425F1" w:rsidRPr="00A425F1" w:rsidRDefault="00A425F1" w:rsidP="00EE2A8D">
      <w:pPr>
        <w:spacing w:before="120" w:after="120"/>
        <w:ind w:firstLine="720"/>
        <w:jc w:val="both"/>
        <w:rPr>
          <w:rFonts w:ascii="Times New Roman" w:hAnsi="Times New Roman"/>
          <w:lang w:val="pt-BR"/>
        </w:rPr>
      </w:pPr>
      <w:r w:rsidRPr="00A425F1">
        <w:rPr>
          <w:rFonts w:ascii="Times New Roman" w:hAnsi="Times New Roman"/>
          <w:lang w:val="pt-BR"/>
        </w:rPr>
        <w:t xml:space="preserve">Cùng với việc ban hành văn bản quy phạm pháp luật, Bộ Y tế đã phối hợp với BHXH Việt Nam tổ chức các hội nghị phổ biến Luật BHYT và các văn bản hướng dẫn; tổ chức các hoạt động tuyên truyền với nhiều hình thức: Phóng sự truyền hình, họp báo và giao ban với các Tổng biên tập báo; biên soạn và in ấn </w:t>
      </w:r>
      <w:r w:rsidRPr="00A425F1">
        <w:rPr>
          <w:rFonts w:ascii="Times New Roman" w:hAnsi="Times New Roman"/>
          <w:lang w:val="pt-BR"/>
        </w:rPr>
        <w:lastRenderedPageBreak/>
        <w:t>2000 cuốn sách “100 câu hỏi và giải đáp chính sách và pháp luật về BHYT” và hàng ngàn tờ rơi và áp phích hướng dẫn “Những điều cần biết khi đi KCB BHYT” cấp cho các địa phương, các bệnh viện để kịp thời hướng dẫn, cung cấp thông tin về những quy định mới về BHYT. Nhiều địa phương đã tổ chức các chuyên mục trên báo, đài địa phương và đối thoại trực tiếp với nhân dân về chính sách BHYT trên phương tiện thông tin đại chúng.</w:t>
      </w:r>
    </w:p>
    <w:p w14:paraId="7FFBB3E0" w14:textId="77777777" w:rsidR="00A425F1" w:rsidRPr="00A425F1" w:rsidRDefault="00A425F1" w:rsidP="00EE2A8D">
      <w:pPr>
        <w:spacing w:before="120" w:after="120"/>
        <w:ind w:firstLine="720"/>
        <w:jc w:val="both"/>
        <w:rPr>
          <w:rFonts w:ascii="Times New Roman" w:hAnsi="Times New Roman"/>
          <w:lang w:val="pt-BR"/>
        </w:rPr>
      </w:pPr>
      <w:r w:rsidRPr="00A425F1">
        <w:rPr>
          <w:rFonts w:ascii="Times New Roman" w:hAnsi="Times New Roman"/>
          <w:lang w:val="pt-BR"/>
        </w:rPr>
        <w:t xml:space="preserve"> Bộ Y tế đã phối hợp với Ban Tuyên giáo Trung ương tuyên truyền, hướng dẫn thực hiện Chỉ thị số 38-CT/TW của Ban Bí thư về “Đẩy mạnh công tác BHYT trong tình hình mới”. Trong giai đoạn 2010</w:t>
      </w:r>
      <w:r w:rsidRPr="00A425F1">
        <w:rPr>
          <w:rFonts w:ascii="Times New Roman" w:hAnsi="Times New Roman"/>
          <w:lang w:val="vi-VN"/>
        </w:rPr>
        <w:t xml:space="preserve"> </w:t>
      </w:r>
      <w:r w:rsidRPr="00A425F1">
        <w:rPr>
          <w:rFonts w:ascii="Times New Roman" w:hAnsi="Times New Roman"/>
          <w:lang w:val="pt-BR"/>
        </w:rPr>
        <w:t>-</w:t>
      </w:r>
      <w:r w:rsidRPr="00A425F1">
        <w:rPr>
          <w:rFonts w:ascii="Times New Roman" w:hAnsi="Times New Roman"/>
          <w:lang w:val="vi-VN"/>
        </w:rPr>
        <w:t xml:space="preserve"> </w:t>
      </w:r>
      <w:r w:rsidRPr="00A425F1">
        <w:rPr>
          <w:rFonts w:ascii="Times New Roman" w:hAnsi="Times New Roman"/>
          <w:lang w:val="pt-BR"/>
        </w:rPr>
        <w:t>2022, Bộ Y tế đã tổ chức và phối hợp tổ chức nhiều lớp tập huấn công tác truyền thông về BHYT cho các đối tượng là cán bộ truyền thông của các Sở Y tế; nhiều lớp tập huấn nâng cao năng lực quản lý BHYT cho các đối tượng là lãnh đạo và cán bộ chuyên trách về BHYT của các Sở Y tế và bệnh viện đa khoa các tỉnh, thành phố. Các hoạt động nhân ngày “Bảo</w:t>
      </w:r>
      <w:r w:rsidRPr="00A425F1">
        <w:rPr>
          <w:rFonts w:ascii="Times New Roman" w:hAnsi="Times New Roman"/>
          <w:lang w:val="vi-VN"/>
        </w:rPr>
        <w:t xml:space="preserve"> hiểm y tế</w:t>
      </w:r>
      <w:r w:rsidRPr="00A425F1">
        <w:rPr>
          <w:rFonts w:ascii="Times New Roman" w:hAnsi="Times New Roman"/>
          <w:lang w:val="pt-BR"/>
        </w:rPr>
        <w:t xml:space="preserve"> Việt Nam” 01/7 hàng năm đã được tổ chức với nhiều hình thức và nội dung phong phú.</w:t>
      </w:r>
    </w:p>
    <w:p w14:paraId="74434085" w14:textId="579589E4" w:rsidR="00A425F1" w:rsidRPr="00A74BEB" w:rsidRDefault="00E53D7A" w:rsidP="00EE2A8D">
      <w:pPr>
        <w:spacing w:before="120" w:after="120"/>
        <w:ind w:firstLine="720"/>
        <w:jc w:val="both"/>
        <w:rPr>
          <w:rFonts w:ascii="Times New Roman" w:hAnsi="Times New Roman"/>
          <w:lang w:val="sv-SE"/>
        </w:rPr>
      </w:pPr>
      <w:r>
        <w:rPr>
          <w:rFonts w:ascii="Times New Roman" w:hAnsi="Times New Roman"/>
          <w:iCs/>
          <w:lang w:val="it-IT"/>
        </w:rPr>
        <w:t xml:space="preserve">Theo nhiệm vụ được Thủ tướng Chính phủ giao, </w:t>
      </w:r>
      <w:r w:rsidR="00A425F1" w:rsidRPr="00A425F1">
        <w:rPr>
          <w:rFonts w:ascii="Times New Roman" w:hAnsi="Times New Roman"/>
          <w:iCs/>
          <w:lang w:val="it-IT"/>
        </w:rPr>
        <w:t xml:space="preserve"> BHXH Việt Nam</w:t>
      </w:r>
      <w:r>
        <w:rPr>
          <w:rFonts w:ascii="Times New Roman" w:hAnsi="Times New Roman"/>
          <w:iCs/>
          <w:lang w:val="it-IT"/>
        </w:rPr>
        <w:t xml:space="preserve"> đã</w:t>
      </w:r>
      <w:r w:rsidR="00A425F1" w:rsidRPr="00A425F1">
        <w:rPr>
          <w:rFonts w:ascii="Times New Roman" w:hAnsi="Times New Roman"/>
          <w:iCs/>
          <w:lang w:val="it-IT"/>
        </w:rPr>
        <w:t xml:space="preserve"> ban hành các kế hoạch, văn bản hướng dẫn nghiệp vụ truyền thông trong toàn Ngành để công tác truyền thông chính sách, pháp luật </w:t>
      </w:r>
      <w:r>
        <w:rPr>
          <w:rFonts w:ascii="Times New Roman" w:hAnsi="Times New Roman"/>
          <w:iCs/>
          <w:lang w:val="it-IT"/>
        </w:rPr>
        <w:t>bảo hiểm xã hội, bảo hiểm y tế, bảo hiểm thất nghiệp</w:t>
      </w:r>
      <w:r w:rsidR="00A425F1" w:rsidRPr="00A425F1">
        <w:rPr>
          <w:rFonts w:ascii="Times New Roman" w:hAnsi="Times New Roman"/>
          <w:iCs/>
          <w:lang w:val="it-IT"/>
        </w:rPr>
        <w:t xml:space="preserve"> nói chung và BHYT nói riêng</w:t>
      </w:r>
      <w:r w:rsidR="00A425F1" w:rsidRPr="00A425F1">
        <w:rPr>
          <w:rFonts w:ascii="Times New Roman" w:hAnsi="Times New Roman"/>
          <w:lang w:val="it-IT"/>
        </w:rPr>
        <w:t xml:space="preserve"> </w:t>
      </w:r>
      <w:r w:rsidR="00A425F1" w:rsidRPr="00A425F1">
        <w:rPr>
          <w:rFonts w:ascii="Times New Roman" w:hAnsi="Times New Roman"/>
          <w:iCs/>
          <w:lang w:val="it-IT"/>
        </w:rPr>
        <w:t>được triển khai một cách đồng bộ, bài bản, thống nhất từ Trung ương đến địa phương.</w:t>
      </w:r>
      <w:r>
        <w:rPr>
          <w:rFonts w:ascii="Times New Roman" w:hAnsi="Times New Roman"/>
          <w:iCs/>
          <w:lang w:val="it-IT"/>
        </w:rPr>
        <w:t xml:space="preserve"> </w:t>
      </w:r>
      <w:r w:rsidR="006C12DA">
        <w:rPr>
          <w:rFonts w:ascii="Times New Roman" w:hAnsi="Times New Roman"/>
          <w:iCs/>
          <w:lang w:val="it-IT"/>
        </w:rPr>
        <w:t>H</w:t>
      </w:r>
      <w:r w:rsidR="00A425F1" w:rsidRPr="00A425F1">
        <w:rPr>
          <w:rFonts w:ascii="Times New Roman" w:hAnsi="Times New Roman"/>
          <w:lang w:val="sv-SE"/>
        </w:rPr>
        <w:t>ằng năm</w:t>
      </w:r>
      <w:r w:rsidR="006C12DA">
        <w:rPr>
          <w:rFonts w:ascii="Times New Roman" w:hAnsi="Times New Roman"/>
          <w:lang w:val="sv-SE"/>
        </w:rPr>
        <w:t>,</w:t>
      </w:r>
      <w:r w:rsidR="00A425F1" w:rsidRPr="00A425F1">
        <w:rPr>
          <w:rFonts w:ascii="Times New Roman" w:hAnsi="Times New Roman"/>
          <w:lang w:val="vi-VN"/>
        </w:rPr>
        <w:t xml:space="preserve"> BHXH Việt Nam đã ký ban hành các văn bản chỉ đạo hướng dẫn thường xuyên và trọng điểm nhằm định hướng rõ nội dung, hình thức </w:t>
      </w:r>
      <w:r w:rsidR="00A425F1" w:rsidRPr="00A425F1">
        <w:rPr>
          <w:rFonts w:ascii="Times New Roman" w:hAnsi="Times New Roman"/>
          <w:noProof/>
          <w:lang w:val="vi-VN"/>
        </w:rPr>
        <w:t xml:space="preserve">truyền thông </w:t>
      </w:r>
      <w:r w:rsidR="00A425F1" w:rsidRPr="00A425F1">
        <w:rPr>
          <w:rFonts w:ascii="Times New Roman" w:hAnsi="Times New Roman"/>
          <w:lang w:val="vi-VN"/>
        </w:rPr>
        <w:t>chính sách BHYT tại trung ương và tại BHXH các tỉnh, trong đó chú trọng công tác truyền thông phát triển người tham gia</w:t>
      </w:r>
      <w:r w:rsidR="00A425F1" w:rsidRPr="00A425F1">
        <w:rPr>
          <w:rFonts w:ascii="Times New Roman" w:hAnsi="Times New Roman"/>
          <w:lang w:val="sv-SE"/>
        </w:rPr>
        <w:t xml:space="preserve"> </w:t>
      </w:r>
      <w:r w:rsidR="00A425F1" w:rsidRPr="00A425F1">
        <w:rPr>
          <w:rFonts w:ascii="Times New Roman" w:hAnsi="Times New Roman"/>
          <w:lang w:val="pt-BR"/>
        </w:rPr>
        <w:t xml:space="preserve">BHYT </w:t>
      </w:r>
      <w:r w:rsidR="00A425F1" w:rsidRPr="00A425F1">
        <w:rPr>
          <w:rFonts w:ascii="Times New Roman" w:hAnsi="Times New Roman"/>
          <w:lang w:val="sv-SE"/>
        </w:rPr>
        <w:t xml:space="preserve">hộ gia đình, </w:t>
      </w:r>
      <w:r w:rsidR="00A425F1" w:rsidRPr="00A425F1">
        <w:rPr>
          <w:rFonts w:ascii="Times New Roman" w:hAnsi="Times New Roman"/>
          <w:lang w:val="pt-BR"/>
        </w:rPr>
        <w:t xml:space="preserve">BHYT </w:t>
      </w:r>
      <w:r w:rsidR="00A425F1" w:rsidRPr="00A425F1">
        <w:rPr>
          <w:rFonts w:ascii="Times New Roman" w:hAnsi="Times New Roman"/>
          <w:lang w:val="sv-SE"/>
        </w:rPr>
        <w:t>học sinh, sinh viên (HSSV)</w:t>
      </w:r>
      <w:r w:rsidR="00A425F1" w:rsidRPr="00A425F1">
        <w:rPr>
          <w:rFonts w:ascii="Times New Roman" w:hAnsi="Times New Roman"/>
          <w:lang w:val="vi-VN"/>
        </w:rPr>
        <w:t>.</w:t>
      </w:r>
      <w:r w:rsidR="00A425F1" w:rsidRPr="00A425F1">
        <w:rPr>
          <w:rFonts w:ascii="Times New Roman" w:hAnsi="Times New Roman"/>
          <w:lang w:val="sv-SE"/>
        </w:rPr>
        <w:t xml:space="preserve"> </w:t>
      </w:r>
      <w:r w:rsidR="00A425F1" w:rsidRPr="00A425F1">
        <w:rPr>
          <w:rFonts w:ascii="Times New Roman" w:hAnsi="Times New Roman"/>
          <w:lang w:val="tn-ZA"/>
        </w:rPr>
        <w:t xml:space="preserve">100% BHXH các tỉnh đã ban hành văn bản và triển khai các hoạt động tuyên truyền trực quan nhân Ngày </w:t>
      </w:r>
      <w:r w:rsidR="00A425F1" w:rsidRPr="00A425F1">
        <w:rPr>
          <w:rFonts w:ascii="Times New Roman" w:hAnsi="Times New Roman"/>
          <w:lang w:val="pt-BR"/>
        </w:rPr>
        <w:t>BHYT</w:t>
      </w:r>
      <w:r w:rsidR="00A425F1" w:rsidRPr="00A425F1">
        <w:rPr>
          <w:rFonts w:ascii="Times New Roman" w:hAnsi="Times New Roman"/>
          <w:lang w:val="tn-ZA"/>
        </w:rPr>
        <w:t xml:space="preserve"> Việt Nam, năm học mới,... và tổ chức chăng treo băng rôn, khẩu hiệu, phướn… tại </w:t>
      </w:r>
      <w:r w:rsidR="00A425F1" w:rsidRPr="00A425F1">
        <w:rPr>
          <w:rFonts w:ascii="Times New Roman" w:hAnsi="Times New Roman"/>
          <w:bCs/>
          <w:lang w:val="sv-SE"/>
        </w:rPr>
        <w:t xml:space="preserve">trụ sở cơ quan BHXH các cấp, các trục đường phố chính của thành phố, thị xã, thị trấn, thị tứ, các khu đông dân cư. </w:t>
      </w:r>
      <w:r w:rsidR="00A425F1" w:rsidRPr="00A425F1">
        <w:rPr>
          <w:rFonts w:ascii="Times New Roman" w:hAnsi="Times New Roman"/>
          <w:lang w:val="sv-SE"/>
        </w:rPr>
        <w:t xml:space="preserve">Bên cạnh đó, BHXH các tỉnh cũng chủ động in ấn, phát hành các tờ rơi, tờ gấp về </w:t>
      </w:r>
      <w:r w:rsidR="00A425F1" w:rsidRPr="00A425F1">
        <w:rPr>
          <w:rFonts w:ascii="Times New Roman" w:hAnsi="Times New Roman"/>
          <w:lang w:val="pt-BR"/>
        </w:rPr>
        <w:t>BHYT</w:t>
      </w:r>
      <w:r w:rsidR="00A425F1" w:rsidRPr="00A425F1">
        <w:rPr>
          <w:rFonts w:ascii="Times New Roman" w:hAnsi="Times New Roman"/>
          <w:lang w:val="sv-SE"/>
        </w:rPr>
        <w:t xml:space="preserve"> hộ gia đình, </w:t>
      </w:r>
      <w:r w:rsidR="00A425F1" w:rsidRPr="00A425F1">
        <w:rPr>
          <w:rFonts w:ascii="Times New Roman" w:hAnsi="Times New Roman"/>
          <w:lang w:val="pt-BR"/>
        </w:rPr>
        <w:t>BHYT</w:t>
      </w:r>
      <w:r w:rsidR="00A425F1" w:rsidRPr="00A425F1">
        <w:rPr>
          <w:rFonts w:ascii="Times New Roman" w:hAnsi="Times New Roman"/>
          <w:lang w:val="sv-SE"/>
        </w:rPr>
        <w:t xml:space="preserve"> HSSV..., chủ động </w:t>
      </w:r>
      <w:r w:rsidR="00A425F1" w:rsidRPr="00A425F1">
        <w:rPr>
          <w:rFonts w:ascii="Times New Roman" w:hAnsi="Times New Roman"/>
          <w:lang w:val="tn-ZA"/>
        </w:rPr>
        <w:t>tổ chức biên tập, phát hành các ấn phẩm tuyên truyền phù hợp với các nhóm đối tượng đặc thù của từng địa phương tới tay người dân</w:t>
      </w:r>
      <w:r w:rsidR="00A425F1" w:rsidRPr="00A425F1">
        <w:rPr>
          <w:rFonts w:ascii="Times New Roman" w:hAnsi="Times New Roman"/>
          <w:lang w:val="sv-SE"/>
        </w:rPr>
        <w:t xml:space="preserve">; </w:t>
      </w:r>
      <w:r w:rsidR="00A425F1" w:rsidRPr="00A425F1">
        <w:rPr>
          <w:rFonts w:ascii="Times New Roman" w:hAnsi="Times New Roman"/>
          <w:spacing w:val="-4"/>
          <w:lang w:val="sv-SE"/>
        </w:rPr>
        <w:t xml:space="preserve">xây dựng, phát triển </w:t>
      </w:r>
      <w:r w:rsidR="00A425F1" w:rsidRPr="00A425F1">
        <w:rPr>
          <w:rFonts w:ascii="Times New Roman" w:hAnsi="Times New Roman"/>
          <w:lang w:val="vi-VN" w:eastAsia="ar-SA"/>
        </w:rPr>
        <w:t>Cổng Thông tin điện tử</w:t>
      </w:r>
      <w:r w:rsidR="00A425F1" w:rsidRPr="00A425F1">
        <w:rPr>
          <w:rFonts w:ascii="Times New Roman" w:hAnsi="Times New Roman"/>
          <w:spacing w:val="-4"/>
          <w:lang w:val="sv-SE"/>
        </w:rPr>
        <w:t xml:space="preserve"> BHXH tỉnh, phát huy vai trò chủ lực trong cung cấp thông tin về BHXH, </w:t>
      </w:r>
      <w:r w:rsidR="00A425F1" w:rsidRPr="00A425F1">
        <w:rPr>
          <w:rFonts w:ascii="Times New Roman" w:hAnsi="Times New Roman"/>
          <w:lang w:val="pt-BR"/>
        </w:rPr>
        <w:t>BHYT</w:t>
      </w:r>
      <w:r w:rsidR="00A425F1" w:rsidRPr="00A425F1">
        <w:rPr>
          <w:rFonts w:ascii="Times New Roman" w:hAnsi="Times New Roman"/>
          <w:spacing w:val="-4"/>
          <w:lang w:val="sv-SE"/>
        </w:rPr>
        <w:t xml:space="preserve">. </w:t>
      </w:r>
      <w:r w:rsidR="00A425F1" w:rsidRPr="00A425F1">
        <w:rPr>
          <w:rFonts w:ascii="Times New Roman" w:hAnsi="Times New Roman"/>
          <w:lang w:val="tn-ZA"/>
        </w:rPr>
        <w:t xml:space="preserve">Các tỉnh thường xuyên cập nhật nhiều tin, bài phản ánh kết quả thực hiện chế độ, chính sách </w:t>
      </w:r>
      <w:r w:rsidR="00A425F1" w:rsidRPr="00A425F1">
        <w:rPr>
          <w:rFonts w:ascii="Times New Roman" w:hAnsi="Times New Roman"/>
          <w:lang w:val="pt-BR"/>
        </w:rPr>
        <w:t>BHYT</w:t>
      </w:r>
      <w:r w:rsidR="00A425F1" w:rsidRPr="00A425F1">
        <w:rPr>
          <w:rFonts w:ascii="Times New Roman" w:hAnsi="Times New Roman"/>
          <w:lang w:val="tn-ZA"/>
        </w:rPr>
        <w:t xml:space="preserve"> trên địa bàn tỉnh, </w:t>
      </w:r>
      <w:r w:rsidR="00A425F1" w:rsidRPr="00A425F1">
        <w:rPr>
          <w:rFonts w:ascii="Times New Roman" w:hAnsi="Times New Roman"/>
          <w:lang w:val="vi-VN"/>
        </w:rPr>
        <w:t>đồng thời cung cấp nhiều thông tin thiết thực cũng như gi</w:t>
      </w:r>
      <w:r w:rsidR="00A425F1" w:rsidRPr="00A425F1">
        <w:rPr>
          <w:rFonts w:ascii="Times New Roman" w:hAnsi="Times New Roman"/>
          <w:lang w:val="tn-ZA"/>
        </w:rPr>
        <w:t xml:space="preserve">ải đáp thắc mắc, tư vấn chính sách cho </w:t>
      </w:r>
      <w:r w:rsidR="00A425F1" w:rsidRPr="00A425F1">
        <w:rPr>
          <w:rFonts w:ascii="Times New Roman" w:hAnsi="Times New Roman"/>
          <w:lang w:val="vi-VN"/>
        </w:rPr>
        <w:t xml:space="preserve">người tham gia </w:t>
      </w:r>
      <w:r w:rsidR="00A425F1" w:rsidRPr="00A425F1">
        <w:rPr>
          <w:rFonts w:ascii="Times New Roman" w:hAnsi="Times New Roman"/>
          <w:lang w:val="pt-BR"/>
        </w:rPr>
        <w:t>BHYT</w:t>
      </w:r>
      <w:r w:rsidR="00A425F1" w:rsidRPr="00A425F1">
        <w:rPr>
          <w:rFonts w:ascii="Times New Roman" w:hAnsi="Times New Roman"/>
          <w:lang w:val="tn-ZA"/>
        </w:rPr>
        <w:t>, thu hút hàng triệu lượt người truy cập.</w:t>
      </w:r>
    </w:p>
    <w:p w14:paraId="530F19C3" w14:textId="77777777" w:rsidR="00A425F1" w:rsidRPr="00A425F1" w:rsidRDefault="00A425F1" w:rsidP="00EE2A8D">
      <w:pPr>
        <w:snapToGrid w:val="0"/>
        <w:spacing w:before="120" w:after="120"/>
        <w:ind w:firstLine="567"/>
        <w:jc w:val="both"/>
        <w:rPr>
          <w:rFonts w:ascii="Times New Roman" w:hAnsi="Times New Roman"/>
          <w:lang w:val="pt-BR"/>
        </w:rPr>
      </w:pPr>
      <w:r w:rsidRPr="00A425F1">
        <w:rPr>
          <w:rFonts w:ascii="Times New Roman" w:hAnsi="Times New Roman"/>
          <w:lang w:val="pt-BR"/>
        </w:rPr>
        <w:t xml:space="preserve">Công tác tuyên truyền, vận động các tầng lớp nhân dân tham gia BHYT được tiến hành thường xuyên. Các hình thức thông tin, tuyên truyền đa dạng, phong phú, tạo được điểm nhấn và thu hút sự quan tâm của đông đảo các tầng lớp nhân dân, người lao động, thông qua tuyên truyền người dân đã nâng cao nhận thức về BHYT, những quyền lợi được hưởng khi đi KCB. </w:t>
      </w:r>
    </w:p>
    <w:p w14:paraId="68FA5C9F" w14:textId="01FBE83B" w:rsidR="007778E6" w:rsidRPr="00C32334" w:rsidRDefault="008E0F16" w:rsidP="00EE2A8D">
      <w:pPr>
        <w:spacing w:before="120" w:after="120"/>
        <w:ind w:firstLine="851"/>
        <w:jc w:val="both"/>
        <w:rPr>
          <w:rFonts w:ascii="Times New Roman" w:hAnsi="Times New Roman"/>
          <w:b/>
          <w:spacing w:val="-2"/>
          <w:lang w:val="pl-PL"/>
        </w:rPr>
      </w:pPr>
      <w:r w:rsidRPr="00CA3BDE">
        <w:rPr>
          <w:rFonts w:ascii="Times New Roman" w:hAnsi="Times New Roman"/>
          <w:b/>
          <w:spacing w:val="-2"/>
          <w:lang w:val="es-ES_tradnl"/>
        </w:rPr>
        <w:t>3</w:t>
      </w:r>
      <w:r w:rsidR="007778E6" w:rsidRPr="00CA3BDE">
        <w:rPr>
          <w:rFonts w:ascii="Times New Roman" w:hAnsi="Times New Roman"/>
          <w:b/>
          <w:spacing w:val="-2"/>
          <w:lang w:val="es-ES_tradnl"/>
        </w:rPr>
        <w:t xml:space="preserve">. </w:t>
      </w:r>
      <w:r w:rsidR="00C11590" w:rsidRPr="00CA3BDE">
        <w:rPr>
          <w:rFonts w:ascii="Times New Roman" w:hAnsi="Times New Roman"/>
          <w:b/>
          <w:spacing w:val="-2"/>
          <w:lang w:val="vi-VN"/>
        </w:rPr>
        <w:t>Công tác thanh tra, kiểm tra</w:t>
      </w:r>
    </w:p>
    <w:p w14:paraId="1B34B739" w14:textId="231B59A4" w:rsidR="00166F37" w:rsidRPr="00166F37" w:rsidRDefault="00166F37" w:rsidP="00EE2A8D">
      <w:pPr>
        <w:spacing w:before="120" w:after="120"/>
        <w:ind w:firstLine="851"/>
        <w:jc w:val="both"/>
        <w:rPr>
          <w:rFonts w:ascii="Times New Roman" w:hAnsi="Times New Roman"/>
          <w:lang w:val="es-ES_tradnl"/>
        </w:rPr>
      </w:pPr>
      <w:r>
        <w:rPr>
          <w:rFonts w:ascii="Times New Roman" w:hAnsi="Times New Roman"/>
          <w:lang w:val="es-ES_tradnl"/>
        </w:rPr>
        <w:lastRenderedPageBreak/>
        <w:t xml:space="preserve">- </w:t>
      </w:r>
      <w:r w:rsidRPr="00166F37">
        <w:rPr>
          <w:rFonts w:ascii="Times New Roman" w:hAnsi="Times New Roman"/>
          <w:lang w:val="es-ES_tradnl"/>
        </w:rPr>
        <w:t>Thực hiện chức năng quản lý nhà nước và thanh tra chuyên ngành về bảo hiểm y tế, hằng năm, Bộ Y tế đã xây dựng Kế hoạch thanh tra chuyên ngành BHYT tại các cơ sở khám bệnh, chữa bệnh bảo hiểm y tế, Sở Y tế và Bảo hiểm xã hội các tỉnh, thành phố nhằm mục đích phát hiện các bất cập của cơ chế, chính sách, cơ chế quản lý và tổ chức thực hiện chính sách, pháp luật về bảo hiểm y tế để kiến nghị cơ quan có thẩm quyền biện pháp khắc phục và xử lý nghiêm hành vi vi phạm và hạn chế, ngăn chặn hiện tượng lạm dụng hoặc trục lợi bảo hiểm y tế, kịp thời chấn chỉnh các biểu hiện lạm dụng thuốc, dịch vụ kỹ thuật cao và biểu hiện trục lợi bảo hiểm y tế.</w:t>
      </w:r>
    </w:p>
    <w:p w14:paraId="07A3C791" w14:textId="77777777" w:rsidR="00166F37" w:rsidRPr="00166F37" w:rsidRDefault="00166F37" w:rsidP="00EE2A8D">
      <w:pPr>
        <w:spacing w:before="120" w:after="120"/>
        <w:ind w:firstLine="720"/>
        <w:jc w:val="both"/>
        <w:rPr>
          <w:rFonts w:ascii="Times New Roman" w:hAnsi="Times New Roman"/>
          <w:spacing w:val="-2"/>
          <w:lang w:val="es-ES_tradnl"/>
        </w:rPr>
      </w:pPr>
      <w:r w:rsidRPr="00166F37">
        <w:rPr>
          <w:rFonts w:ascii="Times New Roman" w:hAnsi="Times New Roman"/>
          <w:spacing w:val="-2"/>
          <w:lang w:val="es-ES_tradnl"/>
        </w:rPr>
        <w:t>Số cuộc thanh tra và số đơn vị đã thực hiện thanh tra chuyên ngành bảo hiểm y tế từ năm 2019 đến năm 2024: Tổng số 15 cuộc thanh tra, đơn vị được thanh tra 14 Sở Y tế các tỉnh, thành phố trực thuộc Trung ương, 06 Bảo hiểm xã hội tỉnh, thành phố và 116 cơ sở khám bệnh, chữa bệnh bảo hiểm y tế.</w:t>
      </w:r>
    </w:p>
    <w:p w14:paraId="6B9A9D3A" w14:textId="77777777" w:rsidR="00166F37" w:rsidRDefault="00166F37" w:rsidP="00EE2A8D">
      <w:pPr>
        <w:autoSpaceDE w:val="0"/>
        <w:autoSpaceDN w:val="0"/>
        <w:adjustRightInd w:val="0"/>
        <w:spacing w:before="120" w:after="120"/>
        <w:jc w:val="both"/>
        <w:rPr>
          <w:rFonts w:ascii="Times New Roman" w:hAnsi="Times New Roman"/>
          <w:spacing w:val="-2"/>
          <w:lang w:val="es-ES_tradnl"/>
        </w:rPr>
      </w:pPr>
      <w:r w:rsidRPr="00166F37">
        <w:rPr>
          <w:rFonts w:ascii="Times New Roman" w:hAnsi="Times New Roman"/>
          <w:spacing w:val="-2"/>
          <w:lang w:val="es-ES_tradnl"/>
        </w:rPr>
        <w:t>Hằng năm, Bộ Y tế đã ban hành Kế hoạch kiểm tra việc triển khai thực hiện Luật bảo hiểm y tế; tổ chức kiểm tra trực tiếp tại các địa phương, đơn vị theo kế hoạch. Hoạt động kiểm tra nhằm chấn chỉnh, đồng thời hỗ trợ các đơn vị thực hiện nghiêm các quy định của pháp luật về bảo hiểm y tế. Qua kiểm tra, những vướng mắc, bất cập phát sinh được tháo gỡ hoặc đề xuất điều chỉnh các văn bản quy phạm pháp luật, các hướng dẫn về bảo hiểm y tế, khám bệnh, chữa bệnh.</w:t>
      </w:r>
    </w:p>
    <w:p w14:paraId="7C811AE6" w14:textId="77777777" w:rsidR="00166F37" w:rsidRPr="004F782B" w:rsidRDefault="00166F37" w:rsidP="00EE2A8D">
      <w:pPr>
        <w:spacing w:before="120" w:after="120"/>
        <w:ind w:firstLine="720"/>
        <w:jc w:val="both"/>
        <w:rPr>
          <w:rFonts w:ascii="Times New Roman" w:hAnsi="Times New Roman"/>
          <w:spacing w:val="-2"/>
          <w:lang w:val="es-ES_tradnl"/>
        </w:rPr>
      </w:pPr>
      <w:r>
        <w:rPr>
          <w:rFonts w:ascii="Times New Roman" w:hAnsi="Times New Roman"/>
          <w:spacing w:val="-2"/>
          <w:lang w:val="es-ES_tradnl"/>
        </w:rPr>
        <w:t xml:space="preserve">- </w:t>
      </w:r>
      <w:r w:rsidRPr="004F782B">
        <w:rPr>
          <w:rFonts w:ascii="Times New Roman" w:hAnsi="Times New Roman"/>
          <w:spacing w:val="-2"/>
          <w:lang w:val="es-ES_tradnl"/>
        </w:rPr>
        <w:t xml:space="preserve">Bảo hiểm xã hội Việt Nam thực hiện việc kiểm tra, thanh tra theo phạm vi chức năng, nhiệm vụ được giao về thu đóng BHYT, chi phí khám bệnh, chữa bệnh BHYT. Qua kiểm tra, phát hiện vi phạm, kiến nghị xử lý kịp thời, trong đó có cả việc khởi kiện ra tòa để xử lý việc không đóng bảo hiểm xã hội, bảo hiểm y tế của các doanh nghiệp; hoặc </w:t>
      </w:r>
      <w:r>
        <w:rPr>
          <w:rFonts w:ascii="Times New Roman" w:hAnsi="Times New Roman"/>
          <w:spacing w:val="-2"/>
          <w:lang w:val="es-ES_tradnl"/>
        </w:rPr>
        <w:t>từ chối</w:t>
      </w:r>
      <w:r w:rsidRPr="004F782B">
        <w:rPr>
          <w:rFonts w:ascii="Times New Roman" w:hAnsi="Times New Roman"/>
          <w:spacing w:val="-2"/>
          <w:lang w:val="es-ES_tradnl"/>
        </w:rPr>
        <w:t xml:space="preserve"> các chi phí khám bệnh, chữa bệnh BHYT không đúng quy định, chi phí do lạm dụng dịch vụ y tế.</w:t>
      </w:r>
    </w:p>
    <w:p w14:paraId="258EA60C" w14:textId="77777777" w:rsidR="00166F37" w:rsidRPr="00166F37" w:rsidRDefault="00166F37" w:rsidP="00EE2A8D">
      <w:pPr>
        <w:spacing w:before="120" w:after="120"/>
        <w:ind w:firstLine="720"/>
        <w:jc w:val="both"/>
        <w:rPr>
          <w:rFonts w:ascii="Times New Roman" w:hAnsi="Times New Roman"/>
          <w:spacing w:val="-2"/>
          <w:lang w:val="es-ES_tradnl"/>
        </w:rPr>
      </w:pPr>
      <w:r w:rsidRPr="00166F37">
        <w:rPr>
          <w:rFonts w:ascii="Times New Roman" w:hAnsi="Times New Roman"/>
          <w:spacing w:val="-2"/>
          <w:lang w:val="es-ES_tradnl"/>
        </w:rPr>
        <w:t>- Tại Sở Y tế:</w:t>
      </w:r>
    </w:p>
    <w:p w14:paraId="6C84DB05" w14:textId="63F457B1" w:rsidR="00166F37" w:rsidRPr="00166F37" w:rsidRDefault="00166F37" w:rsidP="00EE2A8D">
      <w:pPr>
        <w:spacing w:before="120" w:after="120"/>
        <w:ind w:firstLine="720"/>
        <w:jc w:val="both"/>
        <w:rPr>
          <w:rFonts w:ascii="Times New Roman" w:hAnsi="Times New Roman"/>
          <w:spacing w:val="-2"/>
          <w:lang w:val="es-ES_tradnl"/>
        </w:rPr>
      </w:pPr>
      <w:r w:rsidRPr="00166F37">
        <w:rPr>
          <w:rFonts w:ascii="Times New Roman" w:hAnsi="Times New Roman"/>
          <w:spacing w:val="-2"/>
          <w:lang w:val="es-ES_tradnl"/>
        </w:rPr>
        <w:t>+ Hằng năm, thực hiện chỉ đạo của Thanh tra Chính phủ, Thanh tra Bộ Y tế thì Thanh tra Sở Y tế các tỉnh, thành phố trực thuộc Trung ương xây dựng Kế hoạch thanh tra chuyên ngành bảo hiểm y tế trên địa bàn tỉnh, thành phố.</w:t>
      </w:r>
      <w:r w:rsidR="00B05B1A">
        <w:rPr>
          <w:rFonts w:ascii="Times New Roman" w:hAnsi="Times New Roman"/>
          <w:spacing w:val="-2"/>
          <w:lang w:val="es-ES_tradnl"/>
        </w:rPr>
        <w:t xml:space="preserve"> </w:t>
      </w:r>
      <w:r w:rsidR="00B05B1A" w:rsidRPr="00166F37">
        <w:rPr>
          <w:rFonts w:ascii="Times New Roman" w:hAnsi="Times New Roman"/>
          <w:spacing w:val="-2"/>
          <w:lang w:val="es-ES_tradnl"/>
        </w:rPr>
        <w:t>Sở Y tế phối hợp với BHXH tỉnh, thành phố tổ chức kiểm tra công tác KCB bảo hiểm y tế, quản lý sử dụng quỹ bảo hiểm y tế.</w:t>
      </w:r>
    </w:p>
    <w:p w14:paraId="3FD345A7" w14:textId="77777777" w:rsidR="00166F37" w:rsidRPr="00166F37" w:rsidRDefault="00166F37" w:rsidP="00EE2A8D">
      <w:pPr>
        <w:spacing w:before="120" w:after="120"/>
        <w:ind w:firstLine="720"/>
        <w:jc w:val="both"/>
        <w:rPr>
          <w:rFonts w:ascii="Times New Roman" w:hAnsi="Times New Roman"/>
          <w:spacing w:val="-2"/>
          <w:lang w:val="es-ES_tradnl"/>
        </w:rPr>
      </w:pPr>
      <w:r w:rsidRPr="00166F37">
        <w:rPr>
          <w:rFonts w:ascii="Times New Roman" w:hAnsi="Times New Roman"/>
          <w:spacing w:val="-2"/>
          <w:lang w:val="es-ES_tradnl"/>
        </w:rPr>
        <w:t>+ Để tăng cường công tác thanh tra chuyên ngành bảo hiểm y tế, Bộ trưởng Bộ Y tế đã ban hành Quyết định số 7320/QĐ-BYT ngày 10/12/2018 ban hành Quy trình thanh tra Bảo hiểm y tế. Năm 2020 và năm 2023, Bộ trưởng Bộ Y tế đã ban hành Công văn chỉ đạo Sở Y tế các tỉnh, thành phố trực thuộc Trung ương tăng cường thanh tra chuyên ngành bảo hiểm y tế trên địa bàn được giao quản lý nhằm phát hiện các bất cập của cơ chế, chính sách, cơ chế quản lý và tổ chức thực hiện chính sách, pháp luật về bảo hiểm y tế để kiến nghị cơ quan có thẩm quyền biện pháp khắc phục và xử lý nghiêm hành vi vi phạm, ngăn chặn hiện tượng lạm dụng hoặc trục lợi bảo hiểm y tế, kịp thời chấn chỉnh các biểu hiện lạm dụng thuốc, dịch vụ kỹ thuật cao và biểu hiện trục lợi bảo hiểm y tế.</w:t>
      </w:r>
    </w:p>
    <w:p w14:paraId="2BEA8831" w14:textId="77777777" w:rsidR="00B05B1A" w:rsidRPr="00166F37" w:rsidRDefault="00166F37" w:rsidP="00EE2A8D">
      <w:pPr>
        <w:autoSpaceDE w:val="0"/>
        <w:autoSpaceDN w:val="0"/>
        <w:adjustRightInd w:val="0"/>
        <w:spacing w:before="120" w:after="120"/>
        <w:ind w:firstLine="720"/>
        <w:jc w:val="both"/>
        <w:rPr>
          <w:rFonts w:ascii="Times New Roman" w:hAnsi="Times New Roman"/>
          <w:spacing w:val="-2"/>
          <w:lang w:val="es-ES_tradnl"/>
        </w:rPr>
      </w:pPr>
      <w:r w:rsidRPr="00166F37">
        <w:rPr>
          <w:rFonts w:ascii="Times New Roman" w:hAnsi="Times New Roman"/>
          <w:spacing w:val="-2"/>
          <w:lang w:val="es-ES_tradnl"/>
        </w:rPr>
        <w:lastRenderedPageBreak/>
        <w:t xml:space="preserve">+ </w:t>
      </w:r>
      <w:r w:rsidR="00B05B1A" w:rsidRPr="00166F37">
        <w:rPr>
          <w:rFonts w:ascii="Times New Roman" w:hAnsi="Times New Roman"/>
          <w:spacing w:val="-2"/>
          <w:lang w:val="es-ES_tradnl"/>
        </w:rPr>
        <w:t xml:space="preserve">Hoạt động thanh tra, kiểm tra đã góp phần chấn chỉnh kịp thời những sai phạm, tồn tại; đồng thời đôn đốc các cấp, các ngành, cơ quan, đơn vị có liên quan thực hiện tốt hơn chính sách, pháp luật về bảo hiểm y tế. </w:t>
      </w:r>
    </w:p>
    <w:p w14:paraId="58B6681D" w14:textId="77777777" w:rsidR="004F782B" w:rsidRPr="00C32334" w:rsidRDefault="004F782B" w:rsidP="00EE2A8D">
      <w:pPr>
        <w:pStyle w:val="BodyText"/>
        <w:spacing w:before="120"/>
        <w:ind w:firstLine="720"/>
        <w:jc w:val="both"/>
        <w:outlineLvl w:val="4"/>
        <w:rPr>
          <w:rFonts w:ascii="Times New Roman" w:hAnsi="Times New Roman"/>
          <w:b/>
          <w:lang w:val="es-ES_tradnl"/>
        </w:rPr>
      </w:pPr>
      <w:r w:rsidRPr="00C32334">
        <w:rPr>
          <w:rFonts w:ascii="Times New Roman" w:hAnsi="Times New Roman"/>
          <w:b/>
          <w:lang w:val="es-ES_tradnl"/>
        </w:rPr>
        <w:t>4. Quyền lợi của người tham gia BHYT</w:t>
      </w:r>
    </w:p>
    <w:p w14:paraId="68C4FD85" w14:textId="77777777" w:rsidR="004F782B" w:rsidRPr="00C32334" w:rsidRDefault="004F782B" w:rsidP="00EE2A8D">
      <w:pPr>
        <w:pStyle w:val="BodyText"/>
        <w:spacing w:before="120"/>
        <w:ind w:firstLine="720"/>
        <w:jc w:val="both"/>
        <w:outlineLvl w:val="4"/>
        <w:rPr>
          <w:rFonts w:ascii="Times New Roman" w:hAnsi="Times New Roman"/>
          <w:lang w:val="es-ES_tradnl"/>
        </w:rPr>
      </w:pPr>
      <w:r w:rsidRPr="00C32334">
        <w:rPr>
          <w:rFonts w:ascii="Times New Roman" w:hAnsi="Times New Roman"/>
          <w:lang w:val="es-ES_tradnl"/>
        </w:rPr>
        <w:t>4.1. Về chi phí thuộc phạm vi quyền lợi KCB của người tham gia BHYT</w:t>
      </w:r>
    </w:p>
    <w:p w14:paraId="683EC11D" w14:textId="0B7DD02E" w:rsidR="004F782B" w:rsidRPr="004F782B" w:rsidRDefault="004F782B" w:rsidP="00EE2A8D">
      <w:pPr>
        <w:shd w:val="clear" w:color="auto" w:fill="FFFFFF"/>
        <w:spacing w:before="120" w:after="120"/>
        <w:ind w:firstLine="720"/>
        <w:jc w:val="both"/>
        <w:rPr>
          <w:rFonts w:ascii="Times New Roman" w:hAnsi="Times New Roman"/>
          <w:lang w:val="sv-SE"/>
        </w:rPr>
      </w:pPr>
      <w:r w:rsidRPr="00C32334">
        <w:rPr>
          <w:rFonts w:ascii="Times New Roman" w:hAnsi="Times New Roman"/>
          <w:iCs/>
          <w:lang w:val="es-ES_tradnl"/>
        </w:rPr>
        <w:t xml:space="preserve">Theo quy định tại Điều 21 Luật BHYT và các văn bản hướng dẫn thực hiện Luật BHYT, phạm vi quyền lợi của người tham gia BHYT, bao gồm: chi phí dịch vụ kỹ thuật (DVKT) KCB, thuốc, máu, dịch truyền, vật tư y tế (VTYT), hóa chất khi người tham gia BHYT đi KCB, phục hồi chức năng, khám thai định kỳ, sinh con tại cơ sở KCB. Ngoài ra quỹ BHYT còn chi trả chi phí vận chuyển người bệnh từ tuyến huyện lên tuyến tỉnh và tuyến trung ương đối với một số đối tượng ưu tiên như người thuộc hộ nghèo, người dân tộc thiểu số, người có công với cách mạng, trẻ em dưới 6 tuổi… </w:t>
      </w:r>
      <w:r w:rsidRPr="004F782B">
        <w:rPr>
          <w:rFonts w:ascii="Times New Roman" w:hAnsi="Times New Roman"/>
          <w:lang w:val="vi-VN"/>
        </w:rPr>
        <w:t>trong trường hợp cấp cứu hoặc khi đang điều trị nội trú</w:t>
      </w:r>
      <w:r w:rsidR="00DC479B" w:rsidRPr="00C32334">
        <w:rPr>
          <w:rFonts w:ascii="Times New Roman" w:hAnsi="Times New Roman"/>
          <w:lang w:val="es-ES_tradnl"/>
        </w:rPr>
        <w:t xml:space="preserve"> tại tuyến huyện</w:t>
      </w:r>
      <w:r w:rsidRPr="004F782B">
        <w:rPr>
          <w:rFonts w:ascii="Times New Roman" w:hAnsi="Times New Roman"/>
          <w:lang w:val="vi-VN"/>
        </w:rPr>
        <w:t xml:space="preserve"> phải chuyển </w:t>
      </w:r>
      <w:r w:rsidR="00DC479B" w:rsidRPr="00C32334">
        <w:rPr>
          <w:rFonts w:ascii="Times New Roman" w:hAnsi="Times New Roman"/>
          <w:lang w:val="es-ES_tradnl"/>
        </w:rPr>
        <w:t>lên tuyến trên</w:t>
      </w:r>
      <w:r w:rsidRPr="00C32334">
        <w:rPr>
          <w:rFonts w:ascii="Times New Roman" w:hAnsi="Times New Roman"/>
          <w:lang w:val="es-ES_tradnl"/>
        </w:rPr>
        <w:t xml:space="preserve">; quỹ BHYT cũng trích một phần chi phí từ số thu BHYT cho các đơn vị trường học, cơ quan/tổ chức để phục vụ công tác KCB trong chăm sóc sức khỏe ban đầu. </w:t>
      </w:r>
      <w:r w:rsidRPr="004F782B">
        <w:rPr>
          <w:rFonts w:ascii="Times New Roman" w:hAnsi="Times New Roman"/>
          <w:lang w:val="sv-SE"/>
        </w:rPr>
        <w:t xml:space="preserve">Hàng năm, bình quân quỹ BHYT chi trả từ 87% - 89% tổng chi phí KCB BHYT, người tham gia BHYT có trách nhiệm đồng chi trả từ 11% - 13%. </w:t>
      </w:r>
    </w:p>
    <w:p w14:paraId="4A8361A8" w14:textId="77777777" w:rsidR="004F782B" w:rsidRPr="004F782B" w:rsidRDefault="004F782B" w:rsidP="00EE2A8D">
      <w:pPr>
        <w:shd w:val="clear" w:color="auto" w:fill="FFFFFF"/>
        <w:spacing w:before="120" w:after="120"/>
        <w:ind w:firstLine="720"/>
        <w:jc w:val="both"/>
        <w:rPr>
          <w:rFonts w:ascii="Times New Roman" w:hAnsi="Times New Roman"/>
          <w:lang w:val="da-DK"/>
        </w:rPr>
      </w:pPr>
      <w:r w:rsidRPr="004F782B">
        <w:rPr>
          <w:rFonts w:ascii="Times New Roman" w:hAnsi="Times New Roman"/>
          <w:lang w:val="da-DK"/>
        </w:rPr>
        <w:t xml:space="preserve">Quyền lợi BHYT (về thuốc, bao gồm cả thuốc tân dược và thuốc y học cổ truyền, vật tư y tế, dịch vụ kỹ thuật y tế) được xác định trên cơ sở đáp ứng với nhu cầu KCB của người tham gia BHYT, sự thay đổi về mô hình bệnh tật, sự phát triển của khoa học công nghệ trong lĩnh vực y tế, khả năng cân đối quỹ BHYT và khả năng chi trả của người tham gia, đồng thời hướng tới mục tiêu giảm chi tiền túi từ hộ gia đình cho chi tiêu y tế. </w:t>
      </w:r>
    </w:p>
    <w:p w14:paraId="2D4647FE" w14:textId="77777777" w:rsidR="004F782B" w:rsidRPr="004F782B" w:rsidRDefault="004F782B" w:rsidP="00EE2A8D">
      <w:pPr>
        <w:shd w:val="clear" w:color="auto" w:fill="FFFFFF"/>
        <w:spacing w:before="120" w:after="120"/>
        <w:ind w:firstLine="720"/>
        <w:jc w:val="both"/>
        <w:rPr>
          <w:rFonts w:ascii="Times New Roman" w:hAnsi="Times New Roman"/>
          <w:lang w:val="da-DK"/>
        </w:rPr>
      </w:pPr>
      <w:r w:rsidRPr="004F782B">
        <w:rPr>
          <w:rFonts w:ascii="Times New Roman" w:hAnsi="Times New Roman"/>
          <w:lang w:val="da-DK"/>
        </w:rPr>
        <w:t xml:space="preserve">Nhìn chung, quyền lợi về KCB BHYT tương đối toàn diện và ngày càng được mở rộng. Danh mục thuốc, vật tư y tế, dịch vụ kỹ thuật được sử dụng theo năng lực chuyên môn, tuyến chuyên môn kỹ thuật vừa để đảm bảo quyền lợi của người có thẻ khi đến cơ sở y tế, vừa là yêu cầu nâng cao trình độ chuyên môn kỹ thuật của cơ sở y tế. </w:t>
      </w:r>
    </w:p>
    <w:p w14:paraId="7C44AC91" w14:textId="77777777" w:rsidR="004F782B" w:rsidRPr="004F782B" w:rsidRDefault="004F782B" w:rsidP="00EE2A8D">
      <w:pPr>
        <w:shd w:val="clear" w:color="auto" w:fill="FFFFFF"/>
        <w:spacing w:before="120" w:after="120"/>
        <w:ind w:firstLine="720"/>
        <w:jc w:val="both"/>
        <w:rPr>
          <w:rFonts w:ascii="Times New Roman" w:hAnsi="Times New Roman"/>
          <w:lang w:val="da-DK"/>
        </w:rPr>
      </w:pPr>
      <w:r w:rsidRPr="004F782B">
        <w:rPr>
          <w:rFonts w:ascii="Times New Roman" w:hAnsi="Times New Roman"/>
          <w:lang w:val="da-DK"/>
        </w:rPr>
        <w:t>Việc quản lý cung ứng và sử dụng các dịch vụ y tế như thuốc, vật tư y tế, dịch vụ xét nghiệm, chẩn đoán hình ảnh được thực hiện theo yêu cầu chuyên môn trong KCB và quy định về quản lý, mua sắm đảm bảo dịch vụ cung ứng cho bệnh nhân theo đúng quy định của pháp luật, sử dụng quỹ BHYT hợp lý, hiệu quả.</w:t>
      </w:r>
    </w:p>
    <w:p w14:paraId="434DE9E9" w14:textId="400663C5" w:rsidR="003F2D37" w:rsidRPr="004F782B" w:rsidRDefault="004F782B" w:rsidP="00EE2A8D">
      <w:pPr>
        <w:shd w:val="clear" w:color="auto" w:fill="FFFFFF"/>
        <w:spacing w:before="120" w:after="120"/>
        <w:ind w:firstLine="720"/>
        <w:jc w:val="both"/>
        <w:rPr>
          <w:rFonts w:ascii="Times New Roman" w:hAnsi="Times New Roman"/>
          <w:i/>
          <w:lang w:val="sv-SE"/>
        </w:rPr>
      </w:pPr>
      <w:r w:rsidRPr="004F782B">
        <w:rPr>
          <w:rFonts w:ascii="Times New Roman" w:hAnsi="Times New Roman"/>
          <w:lang w:val="sv-SE"/>
        </w:rPr>
        <w:t xml:space="preserve">- Danh mục DVKT thuộc phạm vi chi trả của quỹ BHYT thực hiện theo quy định của Bộ Y tế. </w:t>
      </w:r>
      <w:r w:rsidR="003F2D37">
        <w:rPr>
          <w:rFonts w:ascii="Times New Roman" w:hAnsi="Times New Roman"/>
          <w:lang w:val="sv-SE"/>
        </w:rPr>
        <w:t xml:space="preserve">Hầu  hết các </w:t>
      </w:r>
      <w:r w:rsidRPr="004F782B">
        <w:rPr>
          <w:rFonts w:ascii="Times New Roman" w:hAnsi="Times New Roman"/>
          <w:lang w:val="sv-SE"/>
        </w:rPr>
        <w:t>dịch vụ</w:t>
      </w:r>
      <w:r w:rsidR="003F2D37">
        <w:rPr>
          <w:rFonts w:ascii="Times New Roman" w:hAnsi="Times New Roman"/>
          <w:lang w:val="sv-SE"/>
        </w:rPr>
        <w:t xml:space="preserve"> kỹ thuật</w:t>
      </w:r>
      <w:r w:rsidRPr="004F782B">
        <w:rPr>
          <w:rFonts w:ascii="Times New Roman" w:hAnsi="Times New Roman"/>
          <w:b/>
          <w:bCs/>
          <w:i/>
          <w:iCs/>
          <w:lang w:val="sv-SE"/>
        </w:rPr>
        <w:t xml:space="preserve"> </w:t>
      </w:r>
      <w:r w:rsidRPr="004F782B">
        <w:rPr>
          <w:rFonts w:ascii="Times New Roman" w:hAnsi="Times New Roman"/>
          <w:lang w:val="sv-SE"/>
        </w:rPr>
        <w:t>có tên trong Thông tư số 43/2013/TT-BYT ngày 11/12/2013</w:t>
      </w:r>
      <w:r w:rsidR="00E36A3C">
        <w:rPr>
          <w:rFonts w:ascii="Times New Roman" w:hAnsi="Times New Roman"/>
          <w:lang w:val="sv-SE"/>
        </w:rPr>
        <w:t xml:space="preserve"> </w:t>
      </w:r>
      <w:r w:rsidRPr="004F782B">
        <w:rPr>
          <w:rFonts w:ascii="Times New Roman" w:hAnsi="Times New Roman"/>
          <w:lang w:val="sv-SE"/>
        </w:rPr>
        <w:t>và Thông tư số 21/2017/TT-BYT ngày 10/05/2017</w:t>
      </w:r>
      <w:r w:rsidR="00DC479B">
        <w:rPr>
          <w:rFonts w:ascii="Times New Roman" w:hAnsi="Times New Roman"/>
          <w:lang w:val="sv-SE"/>
        </w:rPr>
        <w:t xml:space="preserve"> sửa đổi, bổ sung </w:t>
      </w:r>
      <w:r w:rsidR="00DC479B" w:rsidRPr="004F782B">
        <w:rPr>
          <w:rFonts w:ascii="Times New Roman" w:hAnsi="Times New Roman"/>
          <w:lang w:val="sv-SE"/>
        </w:rPr>
        <w:t>Thông tư số 43/2013/TT-BYT</w:t>
      </w:r>
      <w:r w:rsidRPr="004F782B">
        <w:rPr>
          <w:rFonts w:ascii="Times New Roman" w:hAnsi="Times New Roman"/>
          <w:lang w:val="sv-SE"/>
        </w:rPr>
        <w:t xml:space="preserve">, bao gồm cả các kỹ thuật y học hiện đại và các kỹ thuật y học cổ truyền đủ điều kiện được thanh toán theo chế độ BHYT theo quy định của </w:t>
      </w:r>
      <w:r w:rsidRPr="004F782B">
        <w:rPr>
          <w:rFonts w:ascii="Times New Roman" w:hAnsi="Times New Roman"/>
          <w:lang w:val="vi-VN"/>
        </w:rPr>
        <w:t>Thông tư số 35/2016/TT-BYT</w:t>
      </w:r>
      <w:r w:rsidRPr="004F782B">
        <w:rPr>
          <w:rStyle w:val="FootnoteReference"/>
          <w:rFonts w:ascii="Times New Roman" w:hAnsi="Times New Roman"/>
          <w:lang w:val="vi-VN"/>
        </w:rPr>
        <w:footnoteReference w:id="1"/>
      </w:r>
      <w:r w:rsidRPr="004F782B">
        <w:rPr>
          <w:rFonts w:ascii="Times New Roman" w:hAnsi="Times New Roman"/>
          <w:lang w:val="sv-SE"/>
        </w:rPr>
        <w:t xml:space="preserve"> ngày </w:t>
      </w:r>
      <w:r w:rsidRPr="004F782B">
        <w:rPr>
          <w:rFonts w:ascii="Times New Roman" w:hAnsi="Times New Roman"/>
          <w:lang w:val="sv-SE"/>
        </w:rPr>
        <w:lastRenderedPageBreak/>
        <w:t>28/09/2016</w:t>
      </w:r>
      <w:r w:rsidR="003F2D37">
        <w:rPr>
          <w:rFonts w:ascii="Times New Roman" w:hAnsi="Times New Roman"/>
          <w:lang w:val="sv-SE"/>
        </w:rPr>
        <w:t xml:space="preserve">, trong đó có nhiều dịch vụ kỹ thuật cao, chuyên sâu như: </w:t>
      </w:r>
      <w:r w:rsidR="003F2D37" w:rsidRPr="004F782B">
        <w:rPr>
          <w:rFonts w:ascii="Times New Roman" w:hAnsi="Times New Roman"/>
          <w:lang w:val="sv-SE"/>
        </w:rPr>
        <w:t>chụp PET-CT</w:t>
      </w:r>
      <w:r w:rsidR="00A257CF">
        <w:rPr>
          <w:rFonts w:ascii="Times New Roman" w:hAnsi="Times New Roman"/>
          <w:lang w:val="sv-SE"/>
        </w:rPr>
        <w:t>,</w:t>
      </w:r>
      <w:r w:rsidR="003F2D37" w:rsidRPr="004F782B">
        <w:rPr>
          <w:rFonts w:ascii="Times New Roman" w:hAnsi="Times New Roman"/>
          <w:lang w:val="sv-SE"/>
        </w:rPr>
        <w:t xml:space="preserve"> can thiệp mạch, thần kinh số hóa xóa nền (DSA), can thiệp xương khớp dưới màn hình tăng sáng, Xạ phẫu bằng Gamma knife/X knife/Cyberknife, phẫu thuật có Robot hỗ trợ, xét nghiệm sinh học phân tử.</w:t>
      </w:r>
      <w:r w:rsidR="003F2D37">
        <w:rPr>
          <w:rFonts w:ascii="Times New Roman" w:hAnsi="Times New Roman"/>
          <w:lang w:val="sv-SE"/>
        </w:rPr>
        <w:t>..</w:t>
      </w:r>
    </w:p>
    <w:p w14:paraId="1BEEB621" w14:textId="62558A5D" w:rsidR="004F782B" w:rsidRPr="004F782B" w:rsidRDefault="004F782B" w:rsidP="00EE2A8D">
      <w:pPr>
        <w:shd w:val="clear" w:color="auto" w:fill="FFFFFF"/>
        <w:spacing w:before="120" w:after="120"/>
        <w:ind w:firstLine="720"/>
        <w:jc w:val="both"/>
        <w:rPr>
          <w:rFonts w:ascii="Times New Roman" w:hAnsi="Times New Roman"/>
          <w:lang w:val="sv-SE"/>
        </w:rPr>
      </w:pPr>
      <w:r w:rsidRPr="004F782B">
        <w:rPr>
          <w:rFonts w:ascii="Times New Roman" w:hAnsi="Times New Roman"/>
          <w:lang w:val="sv-SE"/>
        </w:rPr>
        <w:t>Ngoài ra</w:t>
      </w:r>
      <w:r w:rsidR="00BC29F2">
        <w:rPr>
          <w:rFonts w:ascii="Times New Roman" w:hAnsi="Times New Roman"/>
          <w:lang w:val="sv-SE"/>
        </w:rPr>
        <w:t>,</w:t>
      </w:r>
      <w:r w:rsidRPr="004F782B">
        <w:rPr>
          <w:rFonts w:ascii="Times New Roman" w:hAnsi="Times New Roman"/>
          <w:lang w:val="sv-SE"/>
        </w:rPr>
        <w:t xml:space="preserve"> các DVKT mới được Bộ Y tế phê duyệt cho phép thực hiện, DVKT chưa có giá vẫn được quỹ BHYT thanh toán chi phí thuốc, VTYT thực tế phát sinh trong quá trình thực hiện dịch vụ theo quy định tại khoản 3 Điều 7 Thông tư số 39/3018/TT-BYT ngày 30/11/2018 và đã được thay thế bởi khoản 2 Điều 7 Thông tư số 22/2023/TT-BYT ngày 17 tháng 11 năm 2023 quy định giá dịch vụ KCB BHYT thống nhất giữa các bệnh viện cùng hạng trên toàn quốc.</w:t>
      </w:r>
    </w:p>
    <w:p w14:paraId="2FCDCE2E" w14:textId="77777777" w:rsidR="004F782B" w:rsidRPr="004F782B" w:rsidRDefault="004F782B" w:rsidP="00EE2A8D">
      <w:pPr>
        <w:pStyle w:val="NormalWeb"/>
        <w:shd w:val="clear" w:color="auto" w:fill="FFFFFF"/>
        <w:spacing w:before="120" w:beforeAutospacing="0" w:after="120" w:afterAutospacing="0"/>
        <w:ind w:firstLine="567"/>
        <w:rPr>
          <w:sz w:val="28"/>
          <w:szCs w:val="28"/>
          <w:lang w:val="sv-SE"/>
        </w:rPr>
      </w:pPr>
      <w:r w:rsidRPr="004F782B">
        <w:rPr>
          <w:i/>
          <w:sz w:val="28"/>
          <w:szCs w:val="28"/>
          <w:lang w:val="sv-SE"/>
        </w:rPr>
        <w:t xml:space="preserve">- </w:t>
      </w:r>
      <w:r w:rsidRPr="004F782B">
        <w:rPr>
          <w:sz w:val="28"/>
          <w:szCs w:val="28"/>
          <w:lang w:val="sv-SE"/>
        </w:rPr>
        <w:t>Danh mục thuốc thuộc phạm vi chi trả của quỹ BHYT bao gồm thuốc tân dược và thuốc y học cổ truyền.</w:t>
      </w:r>
    </w:p>
    <w:p w14:paraId="056B8B6A" w14:textId="77777777" w:rsidR="004F782B" w:rsidRPr="004F782B" w:rsidRDefault="004F782B" w:rsidP="00EE2A8D">
      <w:pPr>
        <w:tabs>
          <w:tab w:val="left" w:pos="851"/>
        </w:tabs>
        <w:spacing w:before="120" w:after="120"/>
        <w:ind w:firstLine="720"/>
        <w:jc w:val="both"/>
        <w:rPr>
          <w:rFonts w:ascii="Times New Roman" w:hAnsi="Times New Roman"/>
          <w:lang w:val="sv-SE"/>
        </w:rPr>
      </w:pPr>
      <w:r w:rsidRPr="004F782B">
        <w:rPr>
          <w:rFonts w:ascii="Times New Roman" w:hAnsi="Times New Roman"/>
          <w:lang w:val="sv-SE"/>
        </w:rPr>
        <w:t>+ Danh mục thuốc tân dược thuộc phạm vi được hưởng của người tham gia BHYT ban hành tại Thông tư số 31/2011/TT-BYT ngày 11/7/2011 của Bộ Y tế ban hành danh mục thuốc chủ yếu sử dụng tại các cơ sở KCB được quỹ BHYT thanh toán; Thông tư số 40/2014/TT-BYT ngày 17/11/2014 của Bộ Y tế (gồm có 1.064 thuốc hoạt chất tân dược, 57 thuốc phóng xạ và hợp chất đánh dấu); Thông tư số 30/2018/TT-BYT (gồm 1.030 hoạt chất/thuốc của 27 nhóm theo tác dụng điều trị và 59 thuốc phóng xạ và chất đánh dấu sử dụng trong chẩn đoán, điều trị bằng phóng xạ) thay thế Thông tư số 40/2014/TT-BYT; hiện nay đã được thay thế bởi Thông tư số 20/2022/TT-BYT ngày 31/12/2022 với 1037 hoạt chất và 59 thuốc phóng xạ. Thông tư số 20/2022/TT-BYT quy định điều kiện, tỷ lệ thanh toán của 198 hoạt chất, trong đó 27 hoạt chất được quy định với các tỷ lệ thanh toán 30%, 50%, 70%; 28 hoạt chất được quy định đồng thời điều kiện và tỷ lệ thanh toán, 76 hoạt chất quy định cụ thể chỉ định được quỹ BHYT</w:t>
      </w:r>
      <w:r w:rsidRPr="00C32334">
        <w:rPr>
          <w:rFonts w:ascii="Times New Roman" w:hAnsi="Times New Roman"/>
          <w:spacing w:val="3"/>
          <w:shd w:val="clear" w:color="auto" w:fill="FFFFFF"/>
          <w:lang w:val="sv-SE"/>
        </w:rPr>
        <w:t xml:space="preserve"> thanh toán, 16 hoạt chất được quy định điều kiện thanh toán </w:t>
      </w:r>
      <w:r w:rsidRPr="004F782B">
        <w:rPr>
          <w:rFonts w:ascii="Times New Roman" w:hAnsi="Times New Roman"/>
          <w:spacing w:val="3"/>
          <w:shd w:val="clear" w:color="auto" w:fill="FFFFFF"/>
          <w:lang w:val="sv-SE"/>
        </w:rPr>
        <w:t>cụ thể tại</w:t>
      </w:r>
      <w:r w:rsidRPr="00C32334">
        <w:rPr>
          <w:rFonts w:ascii="Times New Roman" w:hAnsi="Times New Roman"/>
          <w:spacing w:val="3"/>
          <w:shd w:val="clear" w:color="auto" w:fill="FFFFFF"/>
          <w:lang w:val="sv-SE"/>
        </w:rPr>
        <w:t xml:space="preserve"> chuyên khoa</w:t>
      </w:r>
      <w:r w:rsidRPr="004F782B">
        <w:rPr>
          <w:rFonts w:ascii="Times New Roman" w:hAnsi="Times New Roman"/>
          <w:spacing w:val="3"/>
          <w:shd w:val="clear" w:color="auto" w:fill="FFFFFF"/>
          <w:lang w:val="sv-SE"/>
        </w:rPr>
        <w:t xml:space="preserve"> đặc thù (như</w:t>
      </w:r>
      <w:r w:rsidRPr="00C32334">
        <w:rPr>
          <w:rFonts w:ascii="Times New Roman" w:hAnsi="Times New Roman"/>
          <w:spacing w:val="3"/>
          <w:shd w:val="clear" w:color="auto" w:fill="FFFFFF"/>
          <w:lang w:val="sv-SE"/>
        </w:rPr>
        <w:t xml:space="preserve"> mắt, tâm thần, lao-phổi...</w:t>
      </w:r>
      <w:r w:rsidRPr="004F782B">
        <w:rPr>
          <w:rFonts w:ascii="Times New Roman" w:hAnsi="Times New Roman"/>
          <w:spacing w:val="3"/>
          <w:shd w:val="clear" w:color="auto" w:fill="FFFFFF"/>
          <w:lang w:val="sv-SE"/>
        </w:rPr>
        <w:t>)</w:t>
      </w:r>
      <w:r w:rsidRPr="00C32334">
        <w:rPr>
          <w:rFonts w:ascii="Times New Roman" w:hAnsi="Times New Roman"/>
          <w:spacing w:val="3"/>
          <w:shd w:val="clear" w:color="auto" w:fill="FFFFFF"/>
          <w:lang w:val="sv-SE"/>
        </w:rPr>
        <w:t>, 47 thuốc cấp phát tại TYT xã theo hướng dẫn chẩn đoán và điều trị HIV, Lao, Tăng huyết áp, Đái tháo đường, Rối loạn chuyển hóa lipid</w:t>
      </w:r>
      <w:r w:rsidRPr="004F782B">
        <w:rPr>
          <w:rFonts w:ascii="Times New Roman" w:hAnsi="Times New Roman"/>
          <w:lang w:val="sv-SE"/>
        </w:rPr>
        <w:t xml:space="preserve">. </w:t>
      </w:r>
    </w:p>
    <w:p w14:paraId="09D006AD" w14:textId="77777777" w:rsidR="004F782B" w:rsidRPr="00C32334" w:rsidRDefault="004F782B" w:rsidP="00EE2A8D">
      <w:pPr>
        <w:tabs>
          <w:tab w:val="left" w:pos="851"/>
        </w:tabs>
        <w:spacing w:before="120" w:after="120"/>
        <w:ind w:firstLine="720"/>
        <w:jc w:val="both"/>
        <w:rPr>
          <w:rFonts w:ascii="Times New Roman" w:hAnsi="Times New Roman"/>
          <w:lang w:val="sv-SE"/>
        </w:rPr>
      </w:pPr>
      <w:r w:rsidRPr="00C32334">
        <w:rPr>
          <w:rFonts w:ascii="Times New Roman" w:hAnsi="Times New Roman"/>
          <w:lang w:val="sv-SE"/>
        </w:rPr>
        <w:t>+ Danh mục thuốc cổ truyền thuộc phạm vi được hưởng của người tham gia BHYT được Bộ Y tế ban hành tại Thông tư số 12/2010/TT-BYT ngày 29/4/2010 của Bộ Y tế ban hành danh mục thuốc YHCT chủ yếu sử dụng tại các cơ sở KCB; Thông tư số 05/2015/TT-BYT</w:t>
      </w:r>
      <w:r w:rsidRPr="004F782B">
        <w:rPr>
          <w:rFonts w:ascii="Times New Roman" w:hAnsi="Times New Roman"/>
          <w:vertAlign w:val="superscript"/>
        </w:rPr>
        <w:footnoteReference w:id="2"/>
      </w:r>
      <w:r w:rsidRPr="00C32334">
        <w:rPr>
          <w:rFonts w:ascii="Times New Roman" w:hAnsi="Times New Roman"/>
          <w:lang w:val="sv-SE"/>
        </w:rPr>
        <w:t xml:space="preserve"> ngày 17/11/2014 của Bộ Y tế gồm 229 nhóm công thức thuốc dược liệu, thuốc cổ truyền tương đương gần 1.000 công thức thuốc dược liệu, thuốc cổ truyền; 349 dược liệu và các dạng bào chế khác từ các dược liệu này đều thuộc phạm vi thanh toán BHYT. </w:t>
      </w:r>
    </w:p>
    <w:p w14:paraId="0C9CD1EC" w14:textId="77777777" w:rsidR="004F782B" w:rsidRPr="00C32334" w:rsidRDefault="004F782B" w:rsidP="00EE2A8D">
      <w:pPr>
        <w:widowControl w:val="0"/>
        <w:autoSpaceDE w:val="0"/>
        <w:autoSpaceDN w:val="0"/>
        <w:adjustRightInd w:val="0"/>
        <w:spacing w:before="120" w:after="120"/>
        <w:ind w:firstLine="720"/>
        <w:jc w:val="both"/>
        <w:rPr>
          <w:rFonts w:ascii="Times New Roman" w:hAnsi="Times New Roman"/>
          <w:spacing w:val="-2"/>
          <w:lang w:val="vi-VN"/>
        </w:rPr>
      </w:pPr>
      <w:r w:rsidRPr="00C32334">
        <w:rPr>
          <w:rFonts w:ascii="Times New Roman" w:hAnsi="Times New Roman"/>
          <w:lang w:val="sv-SE"/>
        </w:rPr>
        <w:t xml:space="preserve">Danh mục thuốc BHYT ban hành Thông tư số 20/2022/TT-BYT và Thông tư số 05/2015/TT-BYT được ghi dưới dạng tên hoạt chất/thành phần, không ghi hàm lượng và dạng bào chế và tên thương mại, </w:t>
      </w:r>
      <w:r w:rsidRPr="004F782B">
        <w:rPr>
          <w:rStyle w:val="Vnbnnidung7Gincch0pt"/>
          <w:rFonts w:eastAsia="Candara"/>
          <w:sz w:val="28"/>
          <w:szCs w:val="28"/>
        </w:rPr>
        <w:t xml:space="preserve">đáp ứng được cơ bản nhu cầu điều trị, bảo đảm được quyền lợi cho người bệnh có thẻ BHYT, đồng thời phù hợp với </w:t>
      </w:r>
      <w:r w:rsidRPr="004F782B">
        <w:rPr>
          <w:rStyle w:val="Vnbnnidung7Gincch0pt"/>
          <w:rFonts w:eastAsia="Candara"/>
          <w:sz w:val="28"/>
          <w:szCs w:val="28"/>
        </w:rPr>
        <w:lastRenderedPageBreak/>
        <w:t>khả năng chi trả của quỹ BHYT. Theo đánh giá của Tổ chức Y tế thế giới, Việt Nam là một trong số ít các nước trên thế giới có danh mục thuốc tương đối đầy đủ, toàn diện và mở rộng so với mức phí đóng BHYT. Việc lựa chọn thuốc thành phẩm được quỹ BHYT thanh toán tại các cơ sở KCB không bị giới hạn bởi chủng loại thuốc với giá rẻ hay đắt, thuốc</w:t>
      </w:r>
      <w:r w:rsidRPr="00C32334">
        <w:rPr>
          <w:rFonts w:ascii="Times New Roman" w:hAnsi="Times New Roman"/>
          <w:spacing w:val="-2"/>
          <w:lang w:val="vi-VN"/>
        </w:rPr>
        <w:t xml:space="preserve"> nội hay thuốc ngoại. Căn cứ vào mô hình bệnh tật, nhu cầu KCB và khả năng chi trả của Quỹ BHYT, cơ sở KCB xây dựng danh mục thuốc sử dụng tại đơn vị để mua sắm lựa chọn thuốc thành phẩm phù hợp. Các danh mục này được sửa đổi, bổ sung để đáp ứng ngày càng tốt hơn quyền lợi của người bệnh có thẻ BHYT và phù hợp với khả năng chi trả của quỹ BHYT.</w:t>
      </w:r>
    </w:p>
    <w:p w14:paraId="772E119D" w14:textId="7A171E8F" w:rsidR="004F782B" w:rsidRPr="00C32334" w:rsidRDefault="004F782B" w:rsidP="00EE2A8D">
      <w:pPr>
        <w:widowControl w:val="0"/>
        <w:autoSpaceDE w:val="0"/>
        <w:autoSpaceDN w:val="0"/>
        <w:adjustRightInd w:val="0"/>
        <w:spacing w:before="120" w:after="120"/>
        <w:ind w:firstLine="720"/>
        <w:jc w:val="both"/>
        <w:rPr>
          <w:rFonts w:ascii="Times New Roman" w:hAnsi="Times New Roman"/>
          <w:spacing w:val="-2"/>
          <w:lang w:val="vi-VN"/>
        </w:rPr>
      </w:pPr>
      <w:r w:rsidRPr="00C32334">
        <w:rPr>
          <w:rFonts w:ascii="Times New Roman" w:hAnsi="Times New Roman"/>
          <w:spacing w:val="-2"/>
          <w:lang w:val="vi-VN"/>
        </w:rPr>
        <w:t>Với mục tiêu đáp ứng ngày càng đầy đủ, chất lượng hơn về nhu cầu sử dụng thuốc của người bệnh có thẻ BHYT, theo định kỳ 2 năm/lần, Bộ Y tế sẽ tiến hành rà soát, sửa đổi và bổ sung Danh mục thuốc với quy trình chặt chẽ, khoa học, đặc biệt ứng dụng xây dựng Danh mục dựa trên bằng chứng, từ đó sẽ xây dựng Danh mục bảo đảm quyền lợi của người tham gia BHYT đồng thời phù hợp với khả năng chi trả của Quỹ BHYT.</w:t>
      </w:r>
    </w:p>
    <w:p w14:paraId="3D66ADCB" w14:textId="62BF27B5" w:rsidR="004F782B" w:rsidRPr="004F782B" w:rsidRDefault="004F782B" w:rsidP="00EE2A8D">
      <w:pPr>
        <w:pStyle w:val="ListParagraph"/>
        <w:spacing w:before="120" w:after="120"/>
        <w:ind w:left="0" w:firstLine="720"/>
        <w:contextualSpacing w:val="0"/>
        <w:jc w:val="both"/>
        <w:rPr>
          <w:lang w:val="sv-SE"/>
        </w:rPr>
      </w:pPr>
      <w:r w:rsidRPr="004F782B">
        <w:rPr>
          <w:lang w:val="sv-SE"/>
        </w:rPr>
        <w:t>- Danh mục VTYT thuộc phạm vi được hưởng của người tham gia</w:t>
      </w:r>
      <w:r w:rsidRPr="004F782B">
        <w:rPr>
          <w:i/>
          <w:lang w:val="sv-SE"/>
        </w:rPr>
        <w:t xml:space="preserve"> </w:t>
      </w:r>
      <w:r w:rsidRPr="004F782B">
        <w:rPr>
          <w:lang w:val="sv-SE"/>
        </w:rPr>
        <w:t xml:space="preserve">BHYT được Bộ Y tế ban hành tại Thông tư số 04/2017/TT-BYT ngày 14/4/2017 có 337 nhóm VTYT (tương ứng với hàng chục nghìn VTYT cụ thể) từ các loại VTYT đơn giản thông thường sử dụng trong các dịch vụ y tế như bơm kim tiêm, dây truyền, găng tay, kim khâu… đến các loại VTYT sử dụng trong can thiệp, VTYT thay thế. Với việc mở rộng danh mục DVKT được quỹ BHYT thanh toán và quy định giá dịch vụ KCB theo phương pháp chi phí kể từ năm 2012, số tiền quỹ BHYT chi trả cho VTYT cũng ngày càng tăng từ 1,9 nghìn tỷ của năm 2014, </w:t>
      </w:r>
      <w:r w:rsidRPr="004F782B">
        <w:rPr>
          <w:rFonts w:eastAsia="Yu Gothic UI Light"/>
          <w:lang w:val="sv-SE"/>
        </w:rPr>
        <w:t>năm 2016 và năm 2017 tăng thêm từ 45% - 56% so với chi phí của năm trước và</w:t>
      </w:r>
      <w:r w:rsidRPr="004F782B">
        <w:rPr>
          <w:lang w:val="sv-SE"/>
        </w:rPr>
        <w:t xml:space="preserve"> đến năm 2022 đã là 11,8 nghìn tỷ.</w:t>
      </w:r>
    </w:p>
    <w:p w14:paraId="27262508" w14:textId="77777777" w:rsidR="004F782B" w:rsidRPr="004F782B" w:rsidRDefault="004F782B" w:rsidP="00EE2A8D">
      <w:pPr>
        <w:shd w:val="clear" w:color="auto" w:fill="FFFFFF"/>
        <w:spacing w:before="120" w:after="120"/>
        <w:ind w:firstLine="567"/>
        <w:jc w:val="both"/>
        <w:rPr>
          <w:rFonts w:ascii="Times New Roman" w:hAnsi="Times New Roman"/>
          <w:lang w:val="sv-SE"/>
        </w:rPr>
      </w:pPr>
      <w:r w:rsidRPr="004F782B">
        <w:rPr>
          <w:rFonts w:ascii="Times New Roman" w:hAnsi="Times New Roman"/>
          <w:lang w:val="sv-SE"/>
        </w:rPr>
        <w:t xml:space="preserve">Ngoài chi phí VTYT đã được tính trong giá DVKT, một số VTYT có số lượng sử dụng khác nhau tùy thuộc người bệnh hoặc tình trạng bệnh sẽ được quỹ BHYT thanh toán theo số lượng thực tế sử dụng và theo mức giá cơ sở KCB mua vào. Trong đó, có nhiều VTYT sử dụng trong các DVKT cao, có chi phí lớn như: Mạch máu nhân tạo, stent mạch máu các loại, máy tạo nhịp tim, khớp, ổ khớp (toàn phần hoặc bán phần) nhân tạo, đốt sống nhân tạo, miếng ghép cột sống, đĩa đệm trong phẫu thuật cột sống, xương, gân nhân tạo; các loại dao phẫu thuật hiện đại như dao siêu âm, dao hàn mạch, hàn mô, dao Ligasure... </w:t>
      </w:r>
    </w:p>
    <w:p w14:paraId="7D67670A" w14:textId="77777777" w:rsidR="004F782B" w:rsidRPr="004F782B" w:rsidRDefault="004F782B" w:rsidP="00EE2A8D">
      <w:pPr>
        <w:shd w:val="clear" w:color="auto" w:fill="FFFFFF"/>
        <w:spacing w:before="120" w:after="120"/>
        <w:ind w:firstLine="567"/>
        <w:jc w:val="both"/>
        <w:rPr>
          <w:rFonts w:ascii="Times New Roman" w:hAnsi="Times New Roman"/>
          <w:lang w:val="sv-SE"/>
        </w:rPr>
      </w:pPr>
      <w:r w:rsidRPr="004F782B">
        <w:rPr>
          <w:rFonts w:ascii="Times New Roman" w:hAnsi="Times New Roman"/>
          <w:lang w:val="sv-SE"/>
        </w:rPr>
        <w:t>- Chi phí chăm sóc sức khỏe ban đầu (CSSKBĐ)</w:t>
      </w:r>
    </w:p>
    <w:p w14:paraId="02E8E140" w14:textId="77777777" w:rsidR="004F782B" w:rsidRPr="004F782B" w:rsidRDefault="004F782B" w:rsidP="00EE2A8D">
      <w:pPr>
        <w:spacing w:before="120" w:after="120"/>
        <w:ind w:firstLine="720"/>
        <w:jc w:val="both"/>
        <w:rPr>
          <w:rFonts w:ascii="Times New Roman" w:hAnsi="Times New Roman"/>
          <w:szCs w:val="27"/>
          <w:lang w:val="sq-AL"/>
        </w:rPr>
      </w:pPr>
      <w:r w:rsidRPr="004F782B">
        <w:rPr>
          <w:rFonts w:ascii="Times New Roman" w:hAnsi="Times New Roman"/>
          <w:szCs w:val="27"/>
          <w:lang w:val="sq-AL"/>
        </w:rPr>
        <w:t>Thực hiện các văn bản hướng dẫn thực hiện Luật BHYT, cơ quan BHXH đã thực hiện trích, chuyển, quyết toán kinh phí CSSKBĐ</w:t>
      </w:r>
      <w:r w:rsidRPr="004F782B">
        <w:rPr>
          <w:rStyle w:val="FootnoteReference"/>
          <w:rFonts w:ascii="Times New Roman" w:hAnsi="Times New Roman"/>
          <w:szCs w:val="27"/>
        </w:rPr>
        <w:footnoteReference w:id="3"/>
      </w:r>
      <w:r w:rsidRPr="004F782B">
        <w:rPr>
          <w:rFonts w:ascii="Times New Roman" w:hAnsi="Times New Roman"/>
          <w:szCs w:val="27"/>
          <w:lang w:val="sq-AL"/>
        </w:rPr>
        <w:t xml:space="preserve"> kịp thời, đầy đủ kinh phí cho các cơ quan, đơn vị, nhà trường đảm bảo thời gian theo quy định và tạo điều kiện tốt nhất để cơ quan, đơn vị, nhà trường được sử dụng khoản kinh phí CSSKBĐ để chăm sóc sức khỏe cho HSSV và NLĐ. Ngoài ra, cơ sở giáo dục, cơ quan, tổ chức, doanh nghiệp được cấp kinh phí CSSKBĐ không phải quyết toán </w:t>
      </w:r>
      <w:r w:rsidRPr="004F782B">
        <w:rPr>
          <w:rFonts w:ascii="Times New Roman" w:hAnsi="Times New Roman"/>
          <w:szCs w:val="27"/>
          <w:lang w:val="sq-AL"/>
        </w:rPr>
        <w:lastRenderedPageBreak/>
        <w:t xml:space="preserve">với tổ chức BHXH nhưng có trách nhiệm báo cáo về việc sử dụng kinh phí khi tổ chức BHXH, cơ quan nhà nước có thẩm quyền yêu cầu. Số tiền trích CSSKBĐ cũng tăng khi số người tham gia BHYT là HSSV và NLĐ tăng hoặc khi tăng mức đóng BHYT do tăng lương, năm 2022 đã trích hơn 01 nghìn tỷ đồng cho các đơn vị đủ điều kiện theo quy định. </w:t>
      </w:r>
    </w:p>
    <w:p w14:paraId="3B15F60B" w14:textId="77777777" w:rsidR="004F782B" w:rsidRPr="004F782B" w:rsidRDefault="004F782B" w:rsidP="00EE2A8D">
      <w:pPr>
        <w:spacing w:before="120" w:after="120"/>
        <w:ind w:firstLine="720"/>
        <w:jc w:val="both"/>
        <w:rPr>
          <w:rFonts w:ascii="Times New Roman" w:hAnsi="Times New Roman"/>
          <w:szCs w:val="27"/>
          <w:lang w:val="sq-AL"/>
        </w:rPr>
      </w:pPr>
      <w:r w:rsidRPr="004F782B">
        <w:rPr>
          <w:rFonts w:ascii="Times New Roman" w:hAnsi="Times New Roman"/>
          <w:szCs w:val="27"/>
          <w:lang w:val="sq-AL"/>
        </w:rPr>
        <w:t>Năm 2023, ước chi khoảng 1.375.685 triệu đồng cho chăm sóc sức khỏe ban đầu.</w:t>
      </w:r>
    </w:p>
    <w:p w14:paraId="5B771409" w14:textId="43C6F79A" w:rsidR="004F782B" w:rsidRPr="00C32334" w:rsidRDefault="004F782B" w:rsidP="00EE2A8D">
      <w:pPr>
        <w:shd w:val="clear" w:color="auto" w:fill="FFFFFF"/>
        <w:spacing w:before="120" w:after="120"/>
        <w:ind w:firstLine="720"/>
        <w:jc w:val="both"/>
        <w:outlineLvl w:val="4"/>
        <w:rPr>
          <w:rFonts w:ascii="Times New Roman" w:hAnsi="Times New Roman"/>
          <w:bCs/>
          <w:iCs/>
          <w:spacing w:val="-2"/>
          <w:lang w:val="sq-AL"/>
        </w:rPr>
      </w:pPr>
      <w:r w:rsidRPr="00C32334">
        <w:rPr>
          <w:rFonts w:ascii="Times New Roman" w:hAnsi="Times New Roman"/>
          <w:bCs/>
          <w:iCs/>
          <w:spacing w:val="-2"/>
          <w:lang w:val="sq-AL"/>
        </w:rPr>
        <w:t>4.</w:t>
      </w:r>
      <w:r w:rsidR="002F4D54" w:rsidRPr="00C32334">
        <w:rPr>
          <w:rFonts w:ascii="Times New Roman" w:hAnsi="Times New Roman"/>
          <w:bCs/>
          <w:iCs/>
          <w:spacing w:val="-2"/>
          <w:lang w:val="sq-AL"/>
        </w:rPr>
        <w:t>2</w:t>
      </w:r>
      <w:r w:rsidRPr="00C32334">
        <w:rPr>
          <w:rFonts w:ascii="Times New Roman" w:hAnsi="Times New Roman"/>
          <w:bCs/>
          <w:iCs/>
          <w:spacing w:val="-2"/>
          <w:lang w:val="sq-AL"/>
        </w:rPr>
        <w:t>. Quyền lợi về gói dịch vụ y tế cơ bản do quỹ BHYT chi trả</w:t>
      </w:r>
    </w:p>
    <w:p w14:paraId="024884C0" w14:textId="77777777" w:rsidR="004F782B" w:rsidRPr="004F782B" w:rsidRDefault="004F782B" w:rsidP="00EE2A8D">
      <w:pPr>
        <w:spacing w:before="120" w:after="120"/>
        <w:ind w:firstLine="720"/>
        <w:jc w:val="both"/>
        <w:rPr>
          <w:rFonts w:ascii="Times New Roman" w:hAnsi="Times New Roman"/>
          <w:lang w:val="sq-AL"/>
        </w:rPr>
      </w:pPr>
      <w:r w:rsidRPr="004F782B">
        <w:rPr>
          <w:rFonts w:ascii="Times New Roman" w:hAnsi="Times New Roman"/>
          <w:lang w:val="sq-AL"/>
        </w:rPr>
        <w:t>Gói dịch vụ y tế cơ bản bao gồm cả gói do BHYT thanh toán và nhà nước chi trả cho gói dự phòng nâng cao sức khỏe với mục đích: cơ sở y tế gần dân nhất sẽ phải đủ năng lực cung ứng các dịch vụ y tế cơ bản, thiết yếu nhất có đủ chất lượng, bảo đảm quyền lợi người dân được tiếp cận gói dịch vụ y tế cơ bản nơi người dân sinh sống; giảm tỷ lệ đồng chi trả của người dân ở mức thấp nhất (không phải đồng chi trả, được quỹ BHYT chi trả 100% chi phí KCB tại tuyến xã); đồng thời làm giảm chi phí xã hội của người dân khi phải lên tuyến trên; phù hợp với quỹ BHYT chi trả và ngân sách chi trả cho y tế dự phòng và gắn thực hiện chính sách khuyến khích y tế cơ sở có điểu kiện phát triển.</w:t>
      </w:r>
    </w:p>
    <w:p w14:paraId="3319674F" w14:textId="77777777" w:rsidR="004F782B" w:rsidRPr="00D25D9D" w:rsidRDefault="004F782B" w:rsidP="00EE2A8D">
      <w:pPr>
        <w:pStyle w:val="m-8497749979255946976ydp6badd9yiv4063608501msonormal"/>
        <w:spacing w:before="120" w:beforeAutospacing="0" w:after="120" w:afterAutospacing="0"/>
        <w:ind w:firstLine="720"/>
        <w:jc w:val="both"/>
        <w:rPr>
          <w:spacing w:val="-2"/>
          <w:sz w:val="28"/>
          <w:szCs w:val="28"/>
          <w:lang w:val="pt-BR"/>
        </w:rPr>
      </w:pPr>
      <w:r w:rsidRPr="00C32334">
        <w:rPr>
          <w:spacing w:val="-2"/>
          <w:sz w:val="28"/>
          <w:szCs w:val="28"/>
          <w:lang w:val="sq-AL"/>
        </w:rPr>
        <w:t xml:space="preserve">Bộ Y tế đã ban hành Thông tư số 39/2017/TT-BYT ngày 28 tháng 10 năm 2017 quy định gói dịch vụ y tế cơ bản cho tuyến y tế cơ sở (tuyến huyện và xã) bao gồm gói dịch vụ cho KCB do quỹ BHYT chi trả (76 dịch vụ, 241 thuốc) và gói dịch vụ y tế cho chăm sóc sức khỏe, dự phòng và nâng cao sức khỏe do ngân sách nhà nước </w:t>
      </w:r>
      <w:r w:rsidRPr="00D25D9D">
        <w:rPr>
          <w:snapToGrid w:val="0"/>
          <w:spacing w:val="-2"/>
          <w:sz w:val="28"/>
          <w:szCs w:val="28"/>
          <w:lang w:val="pt-BR"/>
        </w:rPr>
        <w:t>và các nguồn kinh phí hợp pháp khác chi trả.</w:t>
      </w:r>
      <w:r w:rsidRPr="00D25D9D">
        <w:rPr>
          <w:spacing w:val="-2"/>
          <w:sz w:val="28"/>
          <w:szCs w:val="28"/>
          <w:lang w:val="pt-BR"/>
        </w:rPr>
        <w:t xml:space="preserve"> Tiếp đó, Bộ Y tế đã ban hành Thông tư số 35/2019/TT-BYT ngày 30 tháng 12 năm 2019 quy định phạm vi hoạt động chuyên môn đối với người hành nghề KCB, trong đó có quy định phạm vi hoạt động chuyên môn là KCB đa khoa, tạo điều kiện thuận lợi cho việc triển khai, thanh toán chi phí KCB BHYT gói dịch vụ y tế cơ bản cho tuyến y tế cơ sở.</w:t>
      </w:r>
    </w:p>
    <w:p w14:paraId="709D05F5" w14:textId="77777777" w:rsidR="004F782B" w:rsidRPr="00C32334" w:rsidRDefault="004F782B" w:rsidP="00EE2A8D">
      <w:pPr>
        <w:tabs>
          <w:tab w:val="left" w:pos="567"/>
        </w:tabs>
        <w:spacing w:before="120" w:after="120"/>
        <w:ind w:firstLine="720"/>
        <w:jc w:val="both"/>
        <w:rPr>
          <w:rFonts w:ascii="Times New Roman" w:hAnsi="Times New Roman"/>
          <w:lang w:val="pt-BR"/>
        </w:rPr>
      </w:pPr>
      <w:r w:rsidRPr="00C32334">
        <w:rPr>
          <w:rFonts w:ascii="Times New Roman" w:hAnsi="Times New Roman"/>
          <w:lang w:val="pt-BR"/>
        </w:rPr>
        <w:t xml:space="preserve">Bộ Y tế tiếp tục tổ chức các lớp tập huấn, hướng dẫn triển khai Thông tư số 39/2017/TT-BYT cho các địa phương. Đề xuất các địa phương xây dựng kế hoạch, đề án triển khai Thông tư, lồng ghép với đề án tăng cường y tế cơ sở để trình cấp có thẩm quyền phê duyệt và có lộ trình đầu tư phù hợp, đảm bảo các trạm y tế xã có đủ năng lực cung ứng gói dịch vụ y tế cơ bản. </w:t>
      </w:r>
    </w:p>
    <w:p w14:paraId="1CD09BEF" w14:textId="77777777" w:rsidR="002104BD" w:rsidRPr="00C32334" w:rsidRDefault="002104BD" w:rsidP="00EE2A8D">
      <w:pPr>
        <w:spacing w:before="120" w:after="120"/>
        <w:ind w:firstLine="720"/>
        <w:rPr>
          <w:rFonts w:ascii="Times New Roman" w:hAnsi="Times New Roman"/>
          <w:b/>
          <w:iCs/>
          <w:lang w:val="pt-BR"/>
        </w:rPr>
      </w:pPr>
      <w:r w:rsidRPr="00C32334">
        <w:rPr>
          <w:rFonts w:ascii="Times New Roman" w:hAnsi="Times New Roman"/>
          <w:b/>
          <w:iCs/>
          <w:lang w:val="pt-BR"/>
        </w:rPr>
        <w:t>5. Về công tác khám</w:t>
      </w:r>
      <w:r w:rsidRPr="002104BD">
        <w:rPr>
          <w:rFonts w:ascii="Times New Roman" w:hAnsi="Times New Roman"/>
          <w:b/>
          <w:iCs/>
          <w:lang w:val="vi-VN"/>
        </w:rPr>
        <w:t xml:space="preserve">, </w:t>
      </w:r>
      <w:r w:rsidRPr="00C32334">
        <w:rPr>
          <w:rFonts w:ascii="Times New Roman" w:hAnsi="Times New Roman"/>
          <w:b/>
          <w:iCs/>
          <w:lang w:val="pt-BR"/>
        </w:rPr>
        <w:t>chữa bệnh bảo hiểm y tế</w:t>
      </w:r>
    </w:p>
    <w:p w14:paraId="09FAE2AA" w14:textId="77777777" w:rsidR="002104BD" w:rsidRPr="002104BD" w:rsidRDefault="002104BD" w:rsidP="00EE2A8D">
      <w:pPr>
        <w:spacing w:before="120" w:after="120"/>
        <w:ind w:firstLine="720"/>
        <w:jc w:val="both"/>
        <w:rPr>
          <w:rFonts w:ascii="Times New Roman" w:hAnsi="Times New Roman"/>
          <w:lang w:val="es-ES_tradnl"/>
        </w:rPr>
      </w:pPr>
      <w:r w:rsidRPr="002104BD">
        <w:rPr>
          <w:rFonts w:ascii="Times New Roman" w:hAnsi="Times New Roman"/>
          <w:lang w:val="es-ES_tradnl"/>
        </w:rPr>
        <w:t>5. 1. Nâng cao chất lượng khám, chữa bệnh bảo hiểm y tế</w:t>
      </w:r>
    </w:p>
    <w:p w14:paraId="78D64821" w14:textId="77777777" w:rsidR="002104BD" w:rsidRPr="002104BD" w:rsidRDefault="002104BD" w:rsidP="00EE2A8D">
      <w:pPr>
        <w:spacing w:before="120" w:after="120"/>
        <w:ind w:firstLine="720"/>
        <w:jc w:val="both"/>
        <w:rPr>
          <w:rFonts w:ascii="Times New Roman" w:hAnsi="Times New Roman"/>
          <w:lang w:val="es-ES_tradnl"/>
        </w:rPr>
      </w:pPr>
      <w:r w:rsidRPr="002104BD">
        <w:rPr>
          <w:rFonts w:ascii="Times New Roman" w:hAnsi="Times New Roman"/>
          <w:lang w:val="es-ES_tradnl"/>
        </w:rPr>
        <w:t xml:space="preserve">Trong những năm qua, Bộ Y tế luôn quan tâm đầu tư, chú trọng đến việc </w:t>
      </w:r>
      <w:r w:rsidRPr="002104BD">
        <w:rPr>
          <w:rFonts w:ascii="Times New Roman" w:hAnsi="Times New Roman"/>
          <w:color w:val="000000"/>
          <w:lang w:val="es-ES_tradnl"/>
        </w:rPr>
        <w:t>nâng cao chất lượng các dịch vụ y tế tại các bệnh viện và các cơ sở khám, chữa bệnh, đảm bảo quyền lợi cho tất cả những người có thẻ bảo hiểm y tế.</w:t>
      </w:r>
    </w:p>
    <w:p w14:paraId="4F9A18EB" w14:textId="77777777" w:rsidR="002104BD" w:rsidRPr="002104BD" w:rsidRDefault="002104BD" w:rsidP="00EE2A8D">
      <w:pPr>
        <w:spacing w:before="120" w:after="120"/>
        <w:ind w:firstLine="720"/>
        <w:jc w:val="both"/>
        <w:rPr>
          <w:rFonts w:ascii="Times New Roman" w:hAnsi="Times New Roman"/>
          <w:color w:val="000000"/>
          <w:lang w:val="es-ES_tradnl"/>
        </w:rPr>
      </w:pPr>
      <w:r w:rsidRPr="002104BD">
        <w:rPr>
          <w:rFonts w:ascii="Times New Roman" w:hAnsi="Times New Roman"/>
          <w:lang w:val="es-ES_tradnl"/>
        </w:rPr>
        <w:t xml:space="preserve">Những hoạt động này được Bộ Y tế ưu tiên với mục tiêu </w:t>
      </w:r>
      <w:r w:rsidRPr="002104BD">
        <w:rPr>
          <w:rFonts w:ascii="Times New Roman" w:hAnsi="Times New Roman"/>
          <w:color w:val="000000"/>
          <w:lang w:val="es-ES_tradnl"/>
        </w:rPr>
        <w:t>từng bước giảm sự chênh lệch chất lượng khám chữa bệnh giữa các vùng miền với một số giải pháp cụ thể như sau:</w:t>
      </w:r>
    </w:p>
    <w:p w14:paraId="65BABDD2" w14:textId="77777777" w:rsidR="002104BD" w:rsidRPr="00C32334" w:rsidRDefault="002104BD" w:rsidP="00EE2A8D">
      <w:pPr>
        <w:spacing w:before="120" w:after="120"/>
        <w:ind w:firstLine="720"/>
        <w:jc w:val="both"/>
        <w:rPr>
          <w:rFonts w:ascii="Times New Roman" w:hAnsi="Times New Roman"/>
          <w:lang w:val="es-ES_tradnl"/>
        </w:rPr>
      </w:pPr>
      <w:r w:rsidRPr="00C32334">
        <w:rPr>
          <w:rFonts w:ascii="Times New Roman" w:hAnsi="Times New Roman"/>
          <w:lang w:val="es-ES_tradnl"/>
        </w:rPr>
        <w:lastRenderedPageBreak/>
        <w:t xml:space="preserve">- </w:t>
      </w:r>
      <w:r w:rsidRPr="002104BD">
        <w:rPr>
          <w:rFonts w:ascii="Times New Roman" w:hAnsi="Times New Roman"/>
          <w:lang w:val="vi-VN"/>
        </w:rPr>
        <w:t xml:space="preserve">Triển khai Chương trình hành động quốc gia về nâng cao năng lực quản lý chất lượng </w:t>
      </w:r>
      <w:r w:rsidRPr="00C32334">
        <w:rPr>
          <w:rFonts w:ascii="Times New Roman" w:hAnsi="Times New Roman"/>
          <w:lang w:val="es-ES_tradnl"/>
        </w:rPr>
        <w:t>khám bệnh, chữa bệnh</w:t>
      </w:r>
      <w:r w:rsidRPr="002104BD">
        <w:rPr>
          <w:rFonts w:ascii="Times New Roman" w:hAnsi="Times New Roman"/>
          <w:lang w:val="vi-VN"/>
        </w:rPr>
        <w:t>, đồng thời thực hiện các giải pháp nâng cao năng lực chuyên môn thông qua các chương trình chỉ đạo tuyến, vệ tinh, 1816,...</w:t>
      </w:r>
    </w:p>
    <w:p w14:paraId="481101F2" w14:textId="77777777" w:rsidR="002104BD" w:rsidRPr="00C32334" w:rsidRDefault="002104BD" w:rsidP="00EE2A8D">
      <w:pPr>
        <w:spacing w:before="120" w:after="120"/>
        <w:ind w:firstLine="720"/>
        <w:jc w:val="both"/>
        <w:rPr>
          <w:rFonts w:ascii="Times New Roman" w:hAnsi="Times New Roman"/>
          <w:lang w:val="es-ES_tradnl"/>
        </w:rPr>
      </w:pPr>
      <w:r w:rsidRPr="00C32334">
        <w:rPr>
          <w:rFonts w:ascii="Times New Roman" w:hAnsi="Times New Roman"/>
          <w:lang w:val="es-ES_tradnl"/>
        </w:rPr>
        <w:t xml:space="preserve">- </w:t>
      </w:r>
      <w:r w:rsidRPr="002104BD">
        <w:rPr>
          <w:rFonts w:ascii="Times New Roman" w:hAnsi="Times New Roman"/>
          <w:lang w:val="vi-VN"/>
        </w:rPr>
        <w:t xml:space="preserve">Tập trung đầu tư cho các địa </w:t>
      </w:r>
      <w:r w:rsidRPr="00C32334">
        <w:rPr>
          <w:rFonts w:ascii="Times New Roman" w:hAnsi="Times New Roman"/>
          <w:lang w:val="es-ES_tradnl"/>
        </w:rPr>
        <w:t xml:space="preserve">phương </w:t>
      </w:r>
      <w:r w:rsidRPr="002104BD">
        <w:rPr>
          <w:rFonts w:ascii="Times New Roman" w:hAnsi="Times New Roman"/>
          <w:lang w:val="vi-VN"/>
        </w:rPr>
        <w:t>phát triển y tế kỹ thuật cao, chuyên sâu ngay tại chính địa phương.</w:t>
      </w:r>
    </w:p>
    <w:p w14:paraId="4F8486E4" w14:textId="77777777" w:rsidR="002104BD" w:rsidRPr="00C32334" w:rsidRDefault="002104BD" w:rsidP="00EE2A8D">
      <w:pPr>
        <w:spacing w:before="120" w:after="120"/>
        <w:ind w:firstLine="720"/>
        <w:jc w:val="both"/>
        <w:rPr>
          <w:rFonts w:ascii="Times New Roman" w:hAnsi="Times New Roman"/>
          <w:spacing w:val="-2"/>
          <w:lang w:val="vi-VN"/>
        </w:rPr>
      </w:pPr>
      <w:r w:rsidRPr="00C32334">
        <w:rPr>
          <w:rFonts w:ascii="Times New Roman" w:hAnsi="Times New Roman"/>
          <w:spacing w:val="-2"/>
          <w:lang w:val="es-ES_tradnl"/>
        </w:rPr>
        <w:t xml:space="preserve">- </w:t>
      </w:r>
      <w:r w:rsidRPr="002104BD">
        <w:rPr>
          <w:rFonts w:ascii="Times New Roman" w:hAnsi="Times New Roman"/>
          <w:spacing w:val="-2"/>
          <w:lang w:val="vi-VN"/>
        </w:rPr>
        <w:t>Bộ Y tế đang có chủ trương đầu tư cho một số bệnh viện đa khoa tỉnh phát triển, nâng cấp thành bệnh viện vùng, ví dụ B</w:t>
      </w:r>
      <w:r w:rsidRPr="00C32334">
        <w:rPr>
          <w:rFonts w:ascii="Times New Roman" w:hAnsi="Times New Roman"/>
          <w:spacing w:val="-2"/>
          <w:lang w:val="es-ES_tradnl"/>
        </w:rPr>
        <w:t>ệnh viện đa khoa</w:t>
      </w:r>
      <w:r w:rsidRPr="002104BD">
        <w:rPr>
          <w:rFonts w:ascii="Times New Roman" w:hAnsi="Times New Roman"/>
          <w:spacing w:val="-2"/>
          <w:lang w:val="vi-VN"/>
        </w:rPr>
        <w:t xml:space="preserve"> tỉnh Phú Thọ, tỉnh Nghệ An đã được công nhận là bệnh viện tuyến cuối và tiếp tục đầu tư để trở thành bệnh viện vùng. Tiếp tục đầu tư các bệnh viện vùng Tây Bắc, Tây Nguyên, giao cho các bệnh viện đầu ngành chịu trách nhiệm nâng cao năng lực như giao cho B</w:t>
      </w:r>
      <w:r w:rsidRPr="00C32334">
        <w:rPr>
          <w:rFonts w:ascii="Times New Roman" w:hAnsi="Times New Roman"/>
          <w:spacing w:val="-2"/>
          <w:lang w:val="vi-VN"/>
        </w:rPr>
        <w:t>ệnh viện</w:t>
      </w:r>
      <w:r w:rsidRPr="002104BD">
        <w:rPr>
          <w:rFonts w:ascii="Times New Roman" w:hAnsi="Times New Roman"/>
          <w:spacing w:val="-2"/>
          <w:lang w:val="vi-VN"/>
        </w:rPr>
        <w:t xml:space="preserve"> Đại học Y Dược TP. HCM đầu tư bệnh viện vùng Tây Nguyên.</w:t>
      </w:r>
    </w:p>
    <w:p w14:paraId="2A37BAD6" w14:textId="77777777" w:rsidR="002104BD" w:rsidRPr="00C32334" w:rsidRDefault="002104BD" w:rsidP="00EE2A8D">
      <w:pPr>
        <w:spacing w:before="120" w:after="120"/>
        <w:ind w:firstLine="720"/>
        <w:jc w:val="both"/>
        <w:rPr>
          <w:rFonts w:ascii="Times New Roman" w:hAnsi="Times New Roman"/>
          <w:lang w:val="vi-VN"/>
        </w:rPr>
      </w:pPr>
      <w:r w:rsidRPr="002104BD">
        <w:rPr>
          <w:rFonts w:ascii="Times New Roman" w:hAnsi="Times New Roman"/>
          <w:lang w:val="vi-VN"/>
        </w:rPr>
        <w:t>- Tiếp tục hoàn thiện các quy trình kỹ thuật và xây dựng định mức kinh tế cho dịch vụ kỹ thuật</w:t>
      </w:r>
      <w:r w:rsidRPr="00C32334">
        <w:rPr>
          <w:rFonts w:ascii="Times New Roman" w:hAnsi="Times New Roman"/>
          <w:lang w:val="vi-VN"/>
        </w:rPr>
        <w:t>.</w:t>
      </w:r>
    </w:p>
    <w:p w14:paraId="37076DB3" w14:textId="77777777" w:rsidR="002104BD" w:rsidRPr="00C32334" w:rsidRDefault="002104BD" w:rsidP="00EE2A8D">
      <w:pPr>
        <w:spacing w:before="120" w:after="120"/>
        <w:ind w:firstLine="720"/>
        <w:jc w:val="both"/>
        <w:rPr>
          <w:rFonts w:ascii="Times New Roman" w:hAnsi="Times New Roman"/>
          <w:lang w:val="vi-VN"/>
        </w:rPr>
      </w:pPr>
      <w:r w:rsidRPr="00C32334">
        <w:rPr>
          <w:rFonts w:ascii="Times New Roman" w:hAnsi="Times New Roman"/>
          <w:lang w:val="vi-VN"/>
        </w:rPr>
        <w:t xml:space="preserve">- </w:t>
      </w:r>
      <w:r w:rsidRPr="002104BD">
        <w:rPr>
          <w:rFonts w:ascii="Times New Roman" w:hAnsi="Times New Roman"/>
          <w:lang w:val="vi-VN"/>
        </w:rPr>
        <w:t>Các địa phương chủ động xây dựng và ban hành các chính sách về chế độ đãi ngộ, thu hút nhân lực về địa phương.</w:t>
      </w:r>
    </w:p>
    <w:p w14:paraId="33082A38" w14:textId="77777777" w:rsidR="002104BD" w:rsidRPr="00C32334" w:rsidRDefault="002104BD" w:rsidP="00EE2A8D">
      <w:pPr>
        <w:spacing w:before="120" w:after="120"/>
        <w:ind w:firstLine="720"/>
        <w:jc w:val="both"/>
        <w:rPr>
          <w:rFonts w:ascii="Times New Roman" w:hAnsi="Times New Roman"/>
          <w:lang w:val="vi-VN"/>
        </w:rPr>
      </w:pPr>
      <w:r w:rsidRPr="00C32334">
        <w:rPr>
          <w:rFonts w:ascii="Times New Roman" w:hAnsi="Times New Roman"/>
          <w:lang w:val="vi-VN"/>
        </w:rPr>
        <w:t xml:space="preserve">- </w:t>
      </w:r>
      <w:r w:rsidRPr="002104BD">
        <w:rPr>
          <w:rFonts w:ascii="Times New Roman" w:hAnsi="Times New Roman"/>
          <w:lang w:val="vi-VN"/>
        </w:rPr>
        <w:t>Bộ Y tế đã ban hành Bộ tiêu chí chất lượng bệnh viện</w:t>
      </w:r>
      <w:r w:rsidRPr="00C32334">
        <w:rPr>
          <w:rFonts w:ascii="Times New Roman" w:hAnsi="Times New Roman"/>
          <w:lang w:val="vi-VN"/>
        </w:rPr>
        <w:t>, g</w:t>
      </w:r>
      <w:r w:rsidRPr="002104BD">
        <w:rPr>
          <w:rFonts w:ascii="Times New Roman" w:hAnsi="Times New Roman"/>
          <w:lang w:val="vi-VN"/>
        </w:rPr>
        <w:t xml:space="preserve">iải pháp này sẽ thúc đẩy bệnh viện các tuyến nâng cao chất lượng </w:t>
      </w:r>
      <w:r w:rsidRPr="00C32334">
        <w:rPr>
          <w:rFonts w:ascii="Times New Roman" w:hAnsi="Times New Roman"/>
          <w:lang w:val="vi-VN"/>
        </w:rPr>
        <w:t>khám bệnh, chữa bệnh</w:t>
      </w:r>
      <w:r w:rsidRPr="002104BD">
        <w:rPr>
          <w:rFonts w:ascii="Times New Roman" w:hAnsi="Times New Roman"/>
          <w:lang w:val="vi-VN"/>
        </w:rPr>
        <w:t xml:space="preserve"> do:</w:t>
      </w:r>
    </w:p>
    <w:p w14:paraId="5B48770A" w14:textId="51772683" w:rsidR="002104BD" w:rsidRPr="002104BD" w:rsidRDefault="002104BD" w:rsidP="00EE2A8D">
      <w:pPr>
        <w:spacing w:before="120" w:after="120"/>
        <w:ind w:firstLine="720"/>
        <w:jc w:val="both"/>
        <w:rPr>
          <w:rFonts w:ascii="Times New Roman" w:hAnsi="Times New Roman"/>
          <w:lang w:val="vi-VN"/>
        </w:rPr>
      </w:pPr>
      <w:r w:rsidRPr="00C32334">
        <w:rPr>
          <w:rFonts w:ascii="Times New Roman" w:hAnsi="Times New Roman"/>
          <w:lang w:val="vi-VN"/>
        </w:rPr>
        <w:t xml:space="preserve">+ </w:t>
      </w:r>
      <w:r w:rsidRPr="002104BD">
        <w:rPr>
          <w:rFonts w:ascii="Times New Roman" w:hAnsi="Times New Roman"/>
          <w:lang w:val="es-ES"/>
        </w:rPr>
        <w:t>Bộ Y tế đã ban hành Quyết định 4858/QĐ-BYT ngày 3/12/2013 ban hành lần đầu tiên Bộ tiêu chí chất lượng bệnh viện Việt Nam và năm 2016 ban hành chính thức Bộ tiêu chí phiên bản 2.0 theo Quyết định số 6858/QĐ-BYT ngày 18/11/2016. Bộ tiêu chí bao gồm 83 tiêu chí, gồm khoảng 1600 tiểu mục là các đầu việc cần làm của các bệnh viện. Quan điểm chủ đạo của Bộ tiêu chí là “Lấy người bệnh là trung tâm của hoạt động điều trị và chăm sóc, nhân viên y tế là then chốt của toàn bộ hoạt động khám, chữa bệnh”.</w:t>
      </w:r>
      <w:r w:rsidRPr="002104BD">
        <w:rPr>
          <w:rFonts w:ascii="Times New Roman" w:hAnsi="Times New Roman"/>
          <w:bCs/>
          <w:lang w:val="es-ES"/>
        </w:rPr>
        <w:t xml:space="preserve"> Bộ tiêu chí cũng là căn cứ để bệnh viện triển khai các hoạt động đánh giá chất lượng nhằm cung ứng dịch vụ y tế an toàn, chất lượng, hiệu quả, mang lại sự hài lòng cao nhất cho người bệnh, người nhà người bệnh và nhân viên y tế.</w:t>
      </w:r>
    </w:p>
    <w:p w14:paraId="060BAC87" w14:textId="77777777" w:rsidR="002104BD" w:rsidRPr="002104BD" w:rsidRDefault="002104BD" w:rsidP="00EE2A8D">
      <w:pPr>
        <w:spacing w:before="120" w:after="120"/>
        <w:ind w:firstLine="720"/>
        <w:jc w:val="both"/>
        <w:rPr>
          <w:rFonts w:ascii="Times New Roman" w:hAnsi="Times New Roman"/>
          <w:lang w:val="es-ES"/>
        </w:rPr>
      </w:pPr>
      <w:r w:rsidRPr="002104BD">
        <w:rPr>
          <w:rFonts w:ascii="Times New Roman" w:hAnsi="Times New Roman"/>
          <w:lang w:val="es-ES"/>
        </w:rPr>
        <w:t>+ Bộ tiêu chí áp dụng chung cho các bệnh viện trên toàn quốc, không phân biệt các hạng, tuyến, công lập hay tư nhân, do vậy các bệnh viện đều thống nhất áp dụng một tiêu chuẩn chung.</w:t>
      </w:r>
    </w:p>
    <w:p w14:paraId="08E66E1E" w14:textId="630D5DA8" w:rsidR="002104BD" w:rsidRPr="002104BD" w:rsidRDefault="002104BD" w:rsidP="00EE2A8D">
      <w:pPr>
        <w:spacing w:before="120" w:after="120"/>
        <w:ind w:firstLine="720"/>
        <w:jc w:val="both"/>
        <w:rPr>
          <w:rFonts w:ascii="Times New Roman" w:hAnsi="Times New Roman"/>
          <w:lang w:val="es-ES"/>
        </w:rPr>
      </w:pPr>
      <w:r w:rsidRPr="002104BD">
        <w:rPr>
          <w:rFonts w:ascii="Times New Roman" w:hAnsi="Times New Roman"/>
          <w:lang w:val="es-ES"/>
        </w:rPr>
        <w:t>+ Dựa trên Bộ tiêu chí này, các bệnh viện đã cải tiến nâng cao chất lượng khám, chữa bệnh. Nhiều bệnh viện ở các tỉnh miền núi, vùng nông thông nhưng đã tích cực áp dụng Bộ tiêu chí, có chất lượng tốt như các bệnh viện huyện thuộc tỉnh Phú Thọ, bệnh viện huyện Nga Sơn, Thanh Hóa, bệnh viện Nghĩa Lộ, Yên Bái, bệnh viện Phú Vang, Thừa Thiên Huế… đều là các bệnh viện tuyến dưới nhưng có chất lượng khá tốt, tỷ lệ người bệnh hài lòng khá cao.</w:t>
      </w:r>
    </w:p>
    <w:p w14:paraId="0B1B3BC9" w14:textId="77777777" w:rsidR="002104BD" w:rsidRPr="002104BD" w:rsidRDefault="002104BD" w:rsidP="00EE2A8D">
      <w:pPr>
        <w:spacing w:before="120" w:after="120"/>
        <w:ind w:firstLine="720"/>
        <w:jc w:val="both"/>
        <w:rPr>
          <w:rFonts w:ascii="Times New Roman" w:hAnsi="Times New Roman"/>
          <w:lang w:val="es-ES"/>
        </w:rPr>
      </w:pPr>
      <w:r w:rsidRPr="002104BD">
        <w:rPr>
          <w:rFonts w:ascii="Times New Roman" w:hAnsi="Times New Roman"/>
          <w:lang w:val="es-ES"/>
        </w:rPr>
        <w:t xml:space="preserve">- </w:t>
      </w:r>
      <w:r w:rsidRPr="002104BD">
        <w:rPr>
          <w:rFonts w:ascii="Times New Roman" w:hAnsi="Times New Roman"/>
          <w:lang w:val="vi-VN"/>
        </w:rPr>
        <w:t xml:space="preserve">Giải pháp tiếp tục đầu tư cho </w:t>
      </w:r>
      <w:r w:rsidRPr="002104BD">
        <w:rPr>
          <w:rFonts w:ascii="Times New Roman" w:hAnsi="Times New Roman"/>
          <w:lang w:val="es-ES"/>
        </w:rPr>
        <w:t>y tế cơ sở</w:t>
      </w:r>
      <w:r w:rsidRPr="002104BD">
        <w:rPr>
          <w:rFonts w:ascii="Times New Roman" w:hAnsi="Times New Roman"/>
          <w:lang w:val="vi-VN"/>
        </w:rPr>
        <w:t>, giảm chênh lệch vùng miền</w:t>
      </w:r>
    </w:p>
    <w:p w14:paraId="2ED13B0E" w14:textId="77777777" w:rsidR="002104BD" w:rsidRPr="00C32334" w:rsidRDefault="002104BD" w:rsidP="00EE2A8D">
      <w:pPr>
        <w:spacing w:before="120" w:after="120"/>
        <w:ind w:firstLine="720"/>
        <w:jc w:val="both"/>
        <w:rPr>
          <w:rFonts w:ascii="Times New Roman" w:hAnsi="Times New Roman"/>
          <w:lang w:val="es-ES"/>
        </w:rPr>
      </w:pPr>
      <w:r w:rsidRPr="002104BD">
        <w:rPr>
          <w:rFonts w:ascii="Times New Roman" w:hAnsi="Times New Roman"/>
          <w:lang w:val="vi-VN"/>
        </w:rPr>
        <w:t xml:space="preserve">+ Bộ Y tế đã và đang </w:t>
      </w:r>
      <w:r w:rsidRPr="00C32334">
        <w:rPr>
          <w:rFonts w:ascii="Times New Roman" w:hAnsi="Times New Roman"/>
          <w:lang w:val="es-ES"/>
        </w:rPr>
        <w:t>triển khai Chỉ thị số 25-CT/TW ngày 25/10/2023 của Ban Bí thư và Nghị quyết số 99/2023/QH15 ngày 24/6/2023 của Quốc hội.</w:t>
      </w:r>
    </w:p>
    <w:p w14:paraId="2BD341EF" w14:textId="77777777" w:rsidR="002104BD" w:rsidRPr="002104BD" w:rsidRDefault="002104BD" w:rsidP="00EE2A8D">
      <w:pPr>
        <w:spacing w:before="120" w:after="120"/>
        <w:ind w:firstLine="720"/>
        <w:jc w:val="both"/>
        <w:rPr>
          <w:rFonts w:ascii="Times New Roman" w:hAnsi="Times New Roman"/>
          <w:lang w:val="vi-VN"/>
        </w:rPr>
      </w:pPr>
      <w:r w:rsidRPr="002104BD">
        <w:rPr>
          <w:rFonts w:ascii="Times New Roman" w:hAnsi="Times New Roman"/>
          <w:lang w:val="vi-VN"/>
        </w:rPr>
        <w:lastRenderedPageBreak/>
        <w:t xml:space="preserve">+ Tăng cường thực hiện </w:t>
      </w:r>
      <w:r w:rsidRPr="00C32334">
        <w:rPr>
          <w:rFonts w:ascii="Times New Roman" w:hAnsi="Times New Roman"/>
          <w:lang w:val="es-ES"/>
        </w:rPr>
        <w:t>khám bệnh, chữa bệnh</w:t>
      </w:r>
      <w:r w:rsidRPr="002104BD">
        <w:rPr>
          <w:rFonts w:ascii="Times New Roman" w:hAnsi="Times New Roman"/>
          <w:lang w:val="vi-VN"/>
        </w:rPr>
        <w:t xml:space="preserve"> từ xa, tuyến trên hỗ trợ tuyến dưới theo “đội hình 1-4-4-2”, giao nhiệm vụ cho các bác sỹ tuyến trên đỡ đầu và hỗ trợ chuyên môn cho bác sỹ tuyến dưới.</w:t>
      </w:r>
    </w:p>
    <w:p w14:paraId="629529FD" w14:textId="77777777" w:rsidR="002104BD" w:rsidRPr="002104BD" w:rsidRDefault="002104BD" w:rsidP="00EE2A8D">
      <w:pPr>
        <w:spacing w:before="120" w:after="120"/>
        <w:ind w:firstLine="720"/>
        <w:jc w:val="both"/>
        <w:rPr>
          <w:rFonts w:ascii="Times New Roman" w:hAnsi="Times New Roman"/>
          <w:lang w:val="vi-VN"/>
        </w:rPr>
      </w:pPr>
      <w:r w:rsidRPr="00C32334">
        <w:rPr>
          <w:rFonts w:ascii="Times New Roman" w:hAnsi="Times New Roman"/>
          <w:lang w:val="vi-VN"/>
        </w:rPr>
        <w:t xml:space="preserve">+ </w:t>
      </w:r>
      <w:r w:rsidRPr="002104BD">
        <w:rPr>
          <w:rFonts w:ascii="Times New Roman" w:hAnsi="Times New Roman"/>
          <w:lang w:val="vi-VN"/>
        </w:rPr>
        <w:t xml:space="preserve">Gắn kết các cơ sở y tế tuyến dưới và tuyến trên vào mạng lưới hội chẩn, tư vấn khám, chữa bệnh từ xa bằng các giải pháp </w:t>
      </w:r>
      <w:r w:rsidRPr="00C32334">
        <w:rPr>
          <w:rFonts w:ascii="Times New Roman" w:hAnsi="Times New Roman"/>
          <w:lang w:val="vi-VN"/>
        </w:rPr>
        <w:t>công nghệ thông tin</w:t>
      </w:r>
      <w:r w:rsidRPr="002104BD">
        <w:rPr>
          <w:rFonts w:ascii="Times New Roman" w:hAnsi="Times New Roman"/>
          <w:lang w:val="vi-VN"/>
        </w:rPr>
        <w:t xml:space="preserve"> tiên tiến.</w:t>
      </w:r>
    </w:p>
    <w:p w14:paraId="0F78C9A5" w14:textId="77777777" w:rsidR="002104BD" w:rsidRPr="00C32334" w:rsidRDefault="002104BD" w:rsidP="00EE2A8D">
      <w:pPr>
        <w:spacing w:before="120" w:after="120"/>
        <w:ind w:firstLine="720"/>
        <w:jc w:val="both"/>
        <w:rPr>
          <w:rFonts w:ascii="Times New Roman" w:hAnsi="Times New Roman"/>
          <w:lang w:val="vi-VN"/>
        </w:rPr>
      </w:pPr>
      <w:r w:rsidRPr="002104BD">
        <w:rPr>
          <w:rFonts w:ascii="Times New Roman" w:hAnsi="Times New Roman"/>
          <w:lang w:val="vi-VN"/>
        </w:rPr>
        <w:t xml:space="preserve">+ Trung ương và địa phương bổ sung các chính sách về chế độ đãi ngộ, thu hút nhân lực về tuyến </w:t>
      </w:r>
      <w:r w:rsidRPr="00C32334">
        <w:rPr>
          <w:rFonts w:ascii="Times New Roman" w:hAnsi="Times New Roman"/>
          <w:lang w:val="vi-VN"/>
        </w:rPr>
        <w:t xml:space="preserve">y tế cơ sở, </w:t>
      </w:r>
      <w:r w:rsidRPr="002104BD">
        <w:rPr>
          <w:rFonts w:ascii="Times New Roman" w:hAnsi="Times New Roman"/>
          <w:lang w:val="vi-VN"/>
        </w:rPr>
        <w:t>mở rộng gói dịch vụ y tế cơ bản tại y tế cơ sở; mở rộng phạm vi hành nghề cho bác sĩ tuyến y tế cơ sở; quản lý bệnh không lây nhiễm tại cộng đồng...</w:t>
      </w:r>
    </w:p>
    <w:p w14:paraId="27DC86A6" w14:textId="77777777" w:rsidR="002104BD" w:rsidRPr="00C32334" w:rsidRDefault="002104BD" w:rsidP="00EE2A8D">
      <w:pPr>
        <w:spacing w:before="120" w:after="120"/>
        <w:ind w:firstLine="720"/>
        <w:jc w:val="both"/>
        <w:rPr>
          <w:rFonts w:ascii="Times New Roman" w:hAnsi="Times New Roman"/>
          <w:lang w:val="vi-VN"/>
        </w:rPr>
      </w:pPr>
      <w:r w:rsidRPr="00C32334">
        <w:rPr>
          <w:rFonts w:ascii="Times New Roman" w:hAnsi="Times New Roman"/>
          <w:lang w:val="vi-VN"/>
        </w:rPr>
        <w:t xml:space="preserve">- </w:t>
      </w:r>
      <w:r w:rsidRPr="002104BD">
        <w:rPr>
          <w:rFonts w:ascii="Times New Roman" w:hAnsi="Times New Roman"/>
          <w:lang w:val="vi-VN"/>
        </w:rPr>
        <w:t>Trong các năm qua, B</w:t>
      </w:r>
      <w:r w:rsidRPr="00C32334">
        <w:rPr>
          <w:rFonts w:ascii="Times New Roman" w:hAnsi="Times New Roman"/>
          <w:lang w:val="vi-VN"/>
        </w:rPr>
        <w:t>ộ Y tế</w:t>
      </w:r>
      <w:r w:rsidRPr="002104BD">
        <w:rPr>
          <w:rFonts w:ascii="Times New Roman" w:hAnsi="Times New Roman"/>
          <w:lang w:val="vi-VN"/>
        </w:rPr>
        <w:t xml:space="preserve"> đã triển khai nhiều giải pháp như B</w:t>
      </w:r>
      <w:r w:rsidRPr="00C32334">
        <w:rPr>
          <w:rFonts w:ascii="Times New Roman" w:hAnsi="Times New Roman"/>
          <w:lang w:val="vi-VN"/>
        </w:rPr>
        <w:t>ệnh viện vệ tinh</w:t>
      </w:r>
      <w:r w:rsidRPr="002104BD">
        <w:rPr>
          <w:rFonts w:ascii="Times New Roman" w:hAnsi="Times New Roman"/>
          <w:lang w:val="vi-VN"/>
        </w:rPr>
        <w:t>,</w:t>
      </w:r>
      <w:r w:rsidRPr="00C32334">
        <w:rPr>
          <w:rFonts w:ascii="Times New Roman" w:hAnsi="Times New Roman"/>
          <w:lang w:val="vi-VN"/>
        </w:rPr>
        <w:t xml:space="preserve"> Đề án</w:t>
      </w:r>
      <w:r w:rsidRPr="002104BD">
        <w:rPr>
          <w:rFonts w:ascii="Times New Roman" w:hAnsi="Times New Roman"/>
          <w:lang w:val="vi-VN"/>
        </w:rPr>
        <w:t xml:space="preserve"> 1816, tăng cường luân phiên cán bộ. Năm 2020 đã ban hành Đề án </w:t>
      </w:r>
      <w:r w:rsidRPr="00C32334">
        <w:rPr>
          <w:rFonts w:ascii="Times New Roman" w:hAnsi="Times New Roman"/>
          <w:lang w:val="vi-VN"/>
        </w:rPr>
        <w:t>khám, chữa bệnh</w:t>
      </w:r>
      <w:r w:rsidRPr="002104BD">
        <w:rPr>
          <w:rFonts w:ascii="Times New Roman" w:hAnsi="Times New Roman"/>
          <w:lang w:val="vi-VN"/>
        </w:rPr>
        <w:t xml:space="preserve"> từ xa, đây là giải pháp rất quan trọng giúp giảm chênh lệch vùng miền. Sau khi các </w:t>
      </w:r>
      <w:r w:rsidRPr="00C32334">
        <w:rPr>
          <w:rFonts w:ascii="Times New Roman" w:hAnsi="Times New Roman"/>
          <w:lang w:val="vi-VN"/>
        </w:rPr>
        <w:t>bệnh viện</w:t>
      </w:r>
      <w:r w:rsidRPr="002104BD">
        <w:rPr>
          <w:rFonts w:ascii="Times New Roman" w:hAnsi="Times New Roman"/>
          <w:lang w:val="vi-VN"/>
        </w:rPr>
        <w:t xml:space="preserve"> bình thường mới sẽ tiếp tục cải tiến nâng cao chất lượng </w:t>
      </w:r>
      <w:r w:rsidRPr="00C32334">
        <w:rPr>
          <w:rFonts w:ascii="Times New Roman" w:hAnsi="Times New Roman"/>
          <w:lang w:val="vi-VN"/>
        </w:rPr>
        <w:t>khám bệnh, chữa bệnh</w:t>
      </w:r>
      <w:r w:rsidRPr="002104BD">
        <w:rPr>
          <w:rFonts w:ascii="Times New Roman" w:hAnsi="Times New Roman"/>
          <w:lang w:val="vi-VN"/>
        </w:rPr>
        <w:t>, giảm chênh lệch vùng miền.</w:t>
      </w:r>
    </w:p>
    <w:p w14:paraId="522661A0" w14:textId="77777777" w:rsidR="002104BD" w:rsidRPr="002104BD" w:rsidRDefault="002104BD" w:rsidP="00EE2A8D">
      <w:pPr>
        <w:spacing w:before="120" w:after="120"/>
        <w:ind w:firstLine="720"/>
        <w:jc w:val="both"/>
        <w:rPr>
          <w:rFonts w:ascii="Times New Roman" w:hAnsi="Times New Roman"/>
          <w:lang w:val="vi-VN"/>
        </w:rPr>
      </w:pPr>
      <w:r w:rsidRPr="00C32334">
        <w:rPr>
          <w:rFonts w:ascii="Times New Roman" w:hAnsi="Times New Roman"/>
          <w:lang w:val="vi-VN"/>
        </w:rPr>
        <w:t xml:space="preserve">- </w:t>
      </w:r>
      <w:r w:rsidRPr="002104BD">
        <w:rPr>
          <w:rFonts w:ascii="Times New Roman" w:hAnsi="Times New Roman"/>
          <w:lang w:val="it-IT"/>
        </w:rPr>
        <w:t xml:space="preserve">Quyết định số 2628/QĐ-BYT ngày 22/6/2020 của Bộ trưởng Bộ Y tế phê duyệt Đề án "Khám, chữa bệnh từ xa" giai đoạn 2020 - 2025. Sau khi Đề án được ký, ban hành, Bộ Y tế chỉ đạo </w:t>
      </w:r>
      <w:r w:rsidRPr="002104BD">
        <w:rPr>
          <w:rFonts w:ascii="Times New Roman" w:hAnsi="Times New Roman"/>
          <w:lang w:val="vi-VN"/>
        </w:rPr>
        <w:t>các</w:t>
      </w:r>
      <w:r w:rsidRPr="002104BD">
        <w:rPr>
          <w:rFonts w:ascii="Times New Roman" w:hAnsi="Times New Roman"/>
          <w:lang w:val="it-IT"/>
        </w:rPr>
        <w:t xml:space="preserve"> bệnh viện tuyến trên trực thuộc Bộ Y tế và các bệnh viện tuyến trên thuộc Sở Y tế Hà Nội và Thành phố Hồ Chí Minh xây dựng hệ thống mạng lưới triển khai Đề án. Ngày 25/9/2020 Thủ tướng Chính phủ đã bấm nút khai trương 1000 điểm cầu của các bệnh viện tuyến dưới kết nối với 23 bệnh viện tuyến trên trực thuộc Bộ Y tế và 09 bệnh viện tuyến trên thuộc Sở Y tế Hà Nội và Thành phố Hồ Chí Minh. </w:t>
      </w:r>
    </w:p>
    <w:p w14:paraId="257C105E" w14:textId="77777777" w:rsidR="002104BD" w:rsidRPr="002104BD" w:rsidRDefault="002104BD" w:rsidP="00EE2A8D">
      <w:pPr>
        <w:spacing w:before="120" w:after="120"/>
        <w:ind w:firstLine="720"/>
        <w:jc w:val="both"/>
        <w:rPr>
          <w:rFonts w:ascii="Times New Roman" w:hAnsi="Times New Roman"/>
          <w:lang w:val="it-IT"/>
        </w:rPr>
      </w:pPr>
      <w:r w:rsidRPr="002104BD">
        <w:rPr>
          <w:rFonts w:ascii="Times New Roman" w:hAnsi="Times New Roman"/>
          <w:lang w:val="it-IT"/>
        </w:rPr>
        <w:t>Với việc triển khai Đề án "Khám, chữa bệnh từ xa" giai đoạn 2020 - 2025 và các Đề án nêu trên, trong thời gian tới Bộ Y tế không chỉ tăng cường đội ngũ bác sĩ cho các tuyến mà còn góp phần đẩy mạnh việc nâng cao chất lượng chuyên môn để nâng cao chất lượng khám, chữa bệnh cho nhân dân.</w:t>
      </w:r>
    </w:p>
    <w:p w14:paraId="238CA670" w14:textId="77777777" w:rsidR="002104BD" w:rsidRPr="002104BD" w:rsidRDefault="002104BD" w:rsidP="00EE2A8D">
      <w:pPr>
        <w:pStyle w:val="ListParagraph"/>
        <w:spacing w:before="120" w:after="120"/>
        <w:ind w:left="142" w:firstLine="720"/>
        <w:contextualSpacing w:val="0"/>
        <w:jc w:val="both"/>
        <w:rPr>
          <w:lang w:val="it-IT"/>
        </w:rPr>
      </w:pPr>
      <w:r w:rsidRPr="002104BD">
        <w:rPr>
          <w:lang w:val="it-IT"/>
        </w:rPr>
        <w:t>Ở tuyến dưới, chất lượng dịch vụ y tế thường hạn chế hơn so với tuyến trên. Sau khi triển khai đề án “Khám, chữa bệnh từ xa”, 1500 bệnh viện tuyến dưới đã được kết nối vào mạng lưới qua hệ thống Viettel. Đã có trên 4.000 nhân viên y tế tuyến trên và hơn 15.000 nhân viên y tế tại tuyến dưới đã được kết nối, giao lưu, chia sẻ kinh nghiệm, chuyển giao kỹ thuật, hỗ trợ nhau trong công tác khám chữa bệnh và tư vấn. Các cơ sở y tế tuyến dưới đã được hỗ trợ chuyên môn thường kỳ và đột xuất từ các bệnh viện tuyến trên dựa trên nền tảng công nghệ thông tin; góp phần phòng chống dịch bệnh, giảm quá tải bệnh viện tuyến trên, nâng cao chất lượng, hiệu quả khám, chữa bệnh và sự hài lòng của người dân. Các bệnh viện đều bố trí lịch vào 1, 2 ngày trong tuần để tổ chức các buổi hội chẩn trực tuyến Telehealth.</w:t>
      </w:r>
    </w:p>
    <w:p w14:paraId="65D9EAAE" w14:textId="77777777" w:rsidR="002104BD" w:rsidRPr="002104BD" w:rsidRDefault="002104BD" w:rsidP="00EE2A8D">
      <w:pPr>
        <w:pStyle w:val="ListParagraph"/>
        <w:spacing w:before="120" w:after="120"/>
        <w:ind w:left="142" w:firstLine="720"/>
        <w:contextualSpacing w:val="0"/>
        <w:jc w:val="both"/>
        <w:rPr>
          <w:lang w:val="it-IT"/>
        </w:rPr>
      </w:pPr>
      <w:r w:rsidRPr="002104BD">
        <w:rPr>
          <w:lang w:val="it-IT"/>
        </w:rPr>
        <w:t xml:space="preserve">Với mục tiêu tăng khả năng tiếp cận dịch vụ y tế cho tất cả người dân, kể cả những khu vực nông thôn, vùng sâu vùng xa, hệ thống các phòng khám chữa bệnh ban đầu từ xa đã được các bệnh viện phối hợp và thiết lập. Sau khi thực hiện đề án, nhiều cơ sở y tế đã kết nối qua hệ thống này mở ra cơ hội rất lớn cho </w:t>
      </w:r>
      <w:r w:rsidRPr="002104BD">
        <w:rPr>
          <w:lang w:val="it-IT"/>
        </w:rPr>
        <w:lastRenderedPageBreak/>
        <w:t xml:space="preserve">người dân tại khu vực tuyến dưới được tiếp cận với các y bác sĩ tuyến trên, tiết kiệm được thời gian, công sức và kinh tế. </w:t>
      </w:r>
    </w:p>
    <w:p w14:paraId="740D06CD" w14:textId="77777777" w:rsidR="002104BD" w:rsidRPr="002104BD" w:rsidRDefault="002104BD" w:rsidP="00EE2A8D">
      <w:pPr>
        <w:pStyle w:val="ListParagraph"/>
        <w:spacing w:before="120" w:after="120"/>
        <w:ind w:left="142" w:firstLine="720"/>
        <w:contextualSpacing w:val="0"/>
        <w:jc w:val="both"/>
        <w:rPr>
          <w:lang w:val="it-IT"/>
        </w:rPr>
      </w:pPr>
      <w:r w:rsidRPr="002104BD">
        <w:rPr>
          <w:lang w:val="it-IT"/>
        </w:rPr>
        <w:t xml:space="preserve">Ngoài những ca hội chẩn thông thường, các ca hội chẩn cấp cứu trực tuyến đã góp phần cứu được rất nhiều bệnh nhân ở tuyến dưới một cách kịp thời, hiệu quả. Các ca hội chẩn cấp cứu được thực hiện với đa dạng các ca bệnh thuộc nhiều chuyên khoa khác nhau từ tai nạn, ngộ độc, suy hô hấp, sốc phản vệ, sản giật và tiền sản giật, vỡ tử cung…; các đầu cầu đều sẵn sàng hỗ trợ tại bất kì thời điểm nào trong ngày. Điều này cho thấy sự tiếp cận với dịch vụ y tế của người dân đã được cải thiện đáng kể, tăng cơ hội cho rất nhiều người mắc bệnh nặng mà trước đây gặp khó khăn để cứu chữa. </w:t>
      </w:r>
    </w:p>
    <w:p w14:paraId="32CACE66" w14:textId="77777777" w:rsidR="002104BD" w:rsidRPr="002104BD" w:rsidRDefault="002104BD" w:rsidP="00EE2A8D">
      <w:pPr>
        <w:spacing w:before="120" w:after="120"/>
        <w:ind w:firstLine="720"/>
        <w:jc w:val="both"/>
        <w:rPr>
          <w:rFonts w:ascii="Times New Roman" w:hAnsi="Times New Roman"/>
          <w:lang w:val="es-ES_tradnl"/>
        </w:rPr>
      </w:pPr>
      <w:r w:rsidRPr="002104BD">
        <w:rPr>
          <w:rFonts w:ascii="Times New Roman" w:hAnsi="Times New Roman"/>
          <w:lang w:val="es-ES_tradnl"/>
        </w:rPr>
        <w:t>5. 2. Cải cách thủ tục hành chính trong tổ chức khám, chữa bệnh bảo hiểm y tế tại các bệnh viện để tạo điều kiện thuận lợi cho người bệnh</w:t>
      </w:r>
    </w:p>
    <w:p w14:paraId="295CF67F" w14:textId="77777777" w:rsidR="002104BD" w:rsidRPr="002104BD" w:rsidRDefault="002104BD" w:rsidP="00EE2A8D">
      <w:pPr>
        <w:pStyle w:val="ListParagraph"/>
        <w:spacing w:before="120" w:after="120"/>
        <w:ind w:left="0" w:firstLine="720"/>
        <w:contextualSpacing w:val="0"/>
        <w:jc w:val="both"/>
        <w:rPr>
          <w:lang w:val="it-IT"/>
        </w:rPr>
      </w:pPr>
      <w:r w:rsidRPr="002104BD">
        <w:rPr>
          <w:lang w:val="it-IT"/>
        </w:rPr>
        <w:t xml:space="preserve">- Thực hiện các chỉ đạo của Bộ Y tế, thời gian qua các Bệnh viện tiếp tục tiến hành sắp xếp, tổ chức một cách hợp lý các phòng tiếp nhận bệnh, phòng thu phí, phòng phát thuốc, phòng khám, các phòng thực hiện cận lâm sàng theo logic hệ thống một cửa theo hướng dẫn của Bộ Y tế. Thủ tục khám chữa bệnh, đặc biệt là khám chữa bệnh bảo hiểm y tế đã được đơn giản hóa mạnh mẽ, giảm thời gian chờ đợi của người bệnh. </w:t>
      </w:r>
    </w:p>
    <w:p w14:paraId="6E693F00" w14:textId="77777777" w:rsidR="002104BD" w:rsidRPr="00C32334" w:rsidRDefault="002104BD" w:rsidP="00EE2A8D">
      <w:pPr>
        <w:spacing w:before="120" w:after="120"/>
        <w:ind w:firstLine="720"/>
        <w:jc w:val="both"/>
        <w:rPr>
          <w:rFonts w:ascii="Times New Roman" w:hAnsi="Times New Roman"/>
          <w:lang w:val="it-IT"/>
        </w:rPr>
      </w:pPr>
      <w:r w:rsidRPr="00C32334">
        <w:rPr>
          <w:rFonts w:ascii="Times New Roman" w:hAnsi="Times New Roman"/>
          <w:lang w:val="it-IT"/>
        </w:rPr>
        <w:t xml:space="preserve">- Theo kết quả báo cáo năm 2019 từ 1187 bệnh viện sau 6 năm thực hiện Quyết định 1313/QĐ-BYT ngày 22 tháng 4 năm 2013 của Bộ trưởng Bộ Y tế về việc ban hành hướng dẫn quy trình khám bệnh tại khoa khám bệnh của bệnh viện cho thấy hiện 100% bệnh viện có bàn/quầy tiếp đón hướng dẫn, 95% bệnh viện có vẽ sơ đồ hướng dẫn đến các khoa phòng, 95% bệnh viện thực hiện tăng cường nhân lực cho khoa khám bệnh; 95% bệnh viện ứng dụng công nghệ thông tin vào công tác khám bệnh, chữa bệnh; 51% làm việc sớm hơn giờ quy định, 45% bệnh viện bỏ các khâu nộp tạm ứng tiền khám bệnh, 35% bệnh viện bỏ các khâu thanh toán phí cận lâm sàng. </w:t>
      </w:r>
    </w:p>
    <w:p w14:paraId="56A2CD2C" w14:textId="77777777" w:rsidR="002104BD" w:rsidRPr="00C32334" w:rsidRDefault="002104BD" w:rsidP="00EE2A8D">
      <w:pPr>
        <w:spacing w:before="120" w:after="120"/>
        <w:ind w:firstLine="720"/>
        <w:jc w:val="both"/>
        <w:rPr>
          <w:rFonts w:ascii="Times New Roman" w:hAnsi="Times New Roman"/>
          <w:lang w:val="it-IT"/>
        </w:rPr>
      </w:pPr>
      <w:r w:rsidRPr="00C32334">
        <w:rPr>
          <w:rFonts w:ascii="Times New Roman" w:hAnsi="Times New Roman"/>
          <w:lang w:val="it-IT"/>
        </w:rPr>
        <w:t>Thời gian khám lâm sàng đơn thuần còn 44 phút (quy định tại Quyết định 1313/QĐ-BYT là dưới 2 giờ); Thời gian khám lâm sàng có làm thêm 01 kỹ thuật xét nghiệm/chẩn đoán hình ảnh, thăm dò chức năng (xét nghiệm cơ bản, chụp X-quang thường quy, siêu âm) là 82 phút (quy định là dưới 3 giờ); thời gian khám lâm sàng có làm thêm 02 kỹ thuật phối hợp cả xét nghiệm và chẩn đoán hình ảnh hoặc xét nghiệm và thăm dò chức năng (xét nghiệm cơ bản, chụp xquang thường quy, siêu âm) là 126 phút (quy định là 3,5 giờ); Thời gian khám lâm sàng có làm thêm 03 kỹ thuật phối hợp cả xét nghiệm, chẩn đoán hình ảnh và thăm dò chức năng (xét nghiệm cơ bản, chụp X-quang thường quy, siêu âm, nội soi) là 155 phút (thời gian quy định dưới 4 giờ).</w:t>
      </w:r>
    </w:p>
    <w:p w14:paraId="3EA5F9A9" w14:textId="77777777" w:rsidR="002104BD" w:rsidRPr="002F4D54" w:rsidRDefault="002104BD" w:rsidP="00EE2A8D">
      <w:pPr>
        <w:pStyle w:val="ListParagraph"/>
        <w:spacing w:before="120" w:after="120"/>
        <w:ind w:left="0" w:firstLine="720"/>
        <w:contextualSpacing w:val="0"/>
        <w:jc w:val="both"/>
        <w:rPr>
          <w:lang w:val="it-IT"/>
        </w:rPr>
      </w:pPr>
      <w:r w:rsidRPr="002F4D54">
        <w:rPr>
          <w:lang w:val="it-IT"/>
        </w:rPr>
        <w:t>- Việc đẩy mạnh ứng dụng công nghệ thông tin trong khám bệnh, chữa bệnh, giám định thanh toán bảo hiểm y tế đã rút ngắn thời gian chờ đợi của bệnh nhân, giúp cho việc thanh toán chi phí được chính xác, kịp thời.</w:t>
      </w:r>
    </w:p>
    <w:p w14:paraId="1B27FBFC" w14:textId="77777777" w:rsidR="002104BD" w:rsidRPr="002F4D54" w:rsidRDefault="002104BD" w:rsidP="00EE2A8D">
      <w:pPr>
        <w:spacing w:before="120" w:after="120"/>
        <w:ind w:firstLine="720"/>
        <w:jc w:val="both"/>
        <w:rPr>
          <w:rFonts w:ascii="Times New Roman" w:hAnsi="Times New Roman"/>
          <w:lang w:val="es-ES_tradnl"/>
        </w:rPr>
      </w:pPr>
      <w:r w:rsidRPr="002F4D54">
        <w:rPr>
          <w:rFonts w:ascii="Times New Roman" w:hAnsi="Times New Roman"/>
          <w:lang w:val="es-ES_tradnl"/>
        </w:rPr>
        <w:t xml:space="preserve">5.3. Nâng cao đạo đức nghề nghiệp, thái độ ứng xử của nhân viên y tế </w:t>
      </w:r>
    </w:p>
    <w:p w14:paraId="67FAA007" w14:textId="77777777" w:rsidR="002104BD" w:rsidRPr="002F4D54" w:rsidRDefault="002104BD" w:rsidP="00EE2A8D">
      <w:pPr>
        <w:pStyle w:val="ListParagraph"/>
        <w:spacing w:before="120" w:after="120"/>
        <w:ind w:left="0" w:firstLine="720"/>
        <w:contextualSpacing w:val="0"/>
        <w:jc w:val="both"/>
        <w:rPr>
          <w:lang w:val="it-IT"/>
        </w:rPr>
      </w:pPr>
      <w:r w:rsidRPr="002F4D54">
        <w:rPr>
          <w:lang w:val="it-IT"/>
        </w:rPr>
        <w:lastRenderedPageBreak/>
        <w:t>Bộ Y tế đã ban hành nhiều văn bản chỉ đạo nâng cao đạo đức nghề nghiệp cho toàn thể công chức, viên chức, người lao động trong ngành Y tế như: Quy định về 12 điều y đức, Quy tắc ứng xử của công chức, viên chức, người lao động làm việc tại các cơ sở y tế (Thông tư số 07/2014/TT-BYT); Kế hoạch “Đổi mới phong cách, thái độ phục vụ của cán bộ y tế hướng tới sự hài lòng của người bệnh” (Quyết định số 2151/QĐ-BYT).</w:t>
      </w:r>
    </w:p>
    <w:p w14:paraId="14DA1033" w14:textId="77777777" w:rsidR="002104BD" w:rsidRPr="002F4D54" w:rsidRDefault="002104BD" w:rsidP="00EE2A8D">
      <w:pPr>
        <w:pStyle w:val="ListParagraph"/>
        <w:spacing w:before="120" w:after="120"/>
        <w:ind w:left="0" w:firstLine="720"/>
        <w:contextualSpacing w:val="0"/>
        <w:jc w:val="both"/>
        <w:rPr>
          <w:lang w:val="it-IT"/>
        </w:rPr>
      </w:pPr>
      <w:r w:rsidRPr="002F4D54">
        <w:rPr>
          <w:lang w:val="it-IT"/>
        </w:rPr>
        <w:t>Theo hướng dẫn của Bộ Y tế, tất cả các tỉnh, thành phố trực thuộc Trung ương đều thành lập Ban Chỉ đạo và triển khai Kế hoạch đổi mới phong cách và thái độ phục vụ của cán bộ y tế các cơ sở khám chữa bệnh của địa phương. Đến nay, Kế hoạch đã được đa số cán bộ y tế cam kết, nghiêm túc thực hiện, bước đầu đạt được kết quả tốt, được người bệnh, gia đình người bệnh, người dân đánh giá cao.</w:t>
      </w:r>
    </w:p>
    <w:p w14:paraId="0CAC3E56" w14:textId="77777777" w:rsidR="002104BD" w:rsidRPr="002F4D54" w:rsidRDefault="002104BD" w:rsidP="00EE2A8D">
      <w:pPr>
        <w:pStyle w:val="ListParagraph"/>
        <w:spacing w:before="120" w:after="120"/>
        <w:ind w:left="0" w:firstLine="720"/>
        <w:contextualSpacing w:val="0"/>
        <w:jc w:val="both"/>
        <w:rPr>
          <w:lang w:val="it-IT"/>
        </w:rPr>
      </w:pPr>
      <w:r w:rsidRPr="002F4D54">
        <w:rPr>
          <w:lang w:val="it-IT"/>
        </w:rPr>
        <w:t>Để tiếp tục thực hiện tốt các nội dung trong Kế hoạch “Đổi mới phong cách, thái độ phục vụ của cán bộ y tế hướng tới sự hài lòng của người bệnh”, Bộ Y tế tiếp tục đẩy mạnh việc nâng cao Y đức của cán bộ y tế, tập trung vào các nội dung:</w:t>
      </w:r>
    </w:p>
    <w:p w14:paraId="46E0197F" w14:textId="77777777" w:rsidR="002104BD" w:rsidRPr="002F4D54" w:rsidRDefault="002104BD" w:rsidP="00EE2A8D">
      <w:pPr>
        <w:pStyle w:val="ListParagraph"/>
        <w:spacing w:before="120" w:after="120"/>
        <w:ind w:left="0" w:firstLine="720"/>
        <w:contextualSpacing w:val="0"/>
        <w:jc w:val="both"/>
        <w:rPr>
          <w:lang w:val="it-IT"/>
        </w:rPr>
      </w:pPr>
      <w:r w:rsidRPr="002F4D54">
        <w:rPr>
          <w:lang w:val="it-IT"/>
        </w:rPr>
        <w:t>- Tăng cường hướng dẫn, tổ chức tập huấn kỹ năng giao tiếp ứng xử cho toàn bộ cán bộ y tế, trong đó có cả cán bộ bảo vệ, hành chính, thu ngân…</w:t>
      </w:r>
    </w:p>
    <w:p w14:paraId="1E3EF614" w14:textId="77777777" w:rsidR="002104BD" w:rsidRPr="002F4D54" w:rsidRDefault="002104BD" w:rsidP="00EE2A8D">
      <w:pPr>
        <w:pStyle w:val="ListParagraph"/>
        <w:spacing w:before="120" w:after="120"/>
        <w:ind w:left="0" w:firstLine="720"/>
        <w:contextualSpacing w:val="0"/>
        <w:jc w:val="both"/>
        <w:rPr>
          <w:lang w:val="it-IT"/>
        </w:rPr>
      </w:pPr>
      <w:r w:rsidRPr="002F4D54">
        <w:rPr>
          <w:lang w:val="it-IT"/>
        </w:rPr>
        <w:t>- Xây dựng và thực hiện Tiêu chí chấm điểm việc thực hiện “Đổi mới phong cách, thái độ phục vụ của cán bộ y tế” và xây dựng cơ sở y tế “Xanh - Sạch - Đẹp” hướng tới sự hài lòng của người bệnh; các đơn vị căn cứ vào các tiêu chí này và tự chấm điểm, các đoàn của cơ quan quản lý sẽ kiểm tra đột xuất, thường xuyên để phúc tra.</w:t>
      </w:r>
    </w:p>
    <w:p w14:paraId="7073280B" w14:textId="77777777" w:rsidR="002104BD" w:rsidRPr="002F4D54" w:rsidRDefault="002104BD" w:rsidP="00EE2A8D">
      <w:pPr>
        <w:pStyle w:val="ListParagraph"/>
        <w:spacing w:before="120" w:after="120"/>
        <w:ind w:left="0" w:firstLine="720"/>
        <w:contextualSpacing w:val="0"/>
        <w:jc w:val="both"/>
        <w:rPr>
          <w:lang w:val="it-IT"/>
        </w:rPr>
      </w:pPr>
      <w:r w:rsidRPr="002F4D54">
        <w:rPr>
          <w:lang w:val="it-IT"/>
        </w:rPr>
        <w:t xml:space="preserve">- Tiếp tục tăng cường đầu tư hạ tầng cơ sở, vật chất, trang thiết bị y tế; đẩy mạnh cải cách hành chính, cải tiến lề lối, tác phong làm việc cho phù hợp. </w:t>
      </w:r>
    </w:p>
    <w:p w14:paraId="47979435" w14:textId="57AB2607" w:rsidR="002F4D54" w:rsidRPr="00C32334" w:rsidRDefault="002F4D54" w:rsidP="00EE2A8D">
      <w:pPr>
        <w:pStyle w:val="ListParagraph"/>
        <w:spacing w:before="120" w:after="120"/>
        <w:ind w:left="0" w:firstLine="720"/>
        <w:contextualSpacing w:val="0"/>
        <w:jc w:val="both"/>
        <w:rPr>
          <w:lang w:val="it-IT" w:eastAsia="en-US"/>
        </w:rPr>
      </w:pPr>
      <w:r w:rsidRPr="00C32334">
        <w:rPr>
          <w:lang w:val="it-IT" w:eastAsia="en-US"/>
        </w:rPr>
        <w:t>5.4. Về số lượt khám bệnh, chữa bệnh bảo hiểm y tế</w:t>
      </w:r>
    </w:p>
    <w:p w14:paraId="1D1D86A1" w14:textId="5BDED1C1" w:rsidR="002F4D54" w:rsidRPr="00C32334" w:rsidRDefault="002F4D54" w:rsidP="00EE2A8D">
      <w:pPr>
        <w:pStyle w:val="ListParagraph"/>
        <w:spacing w:before="120" w:after="120"/>
        <w:ind w:left="0" w:firstLine="720"/>
        <w:contextualSpacing w:val="0"/>
        <w:jc w:val="both"/>
        <w:rPr>
          <w:lang w:val="it-IT" w:eastAsia="en-US"/>
        </w:rPr>
      </w:pPr>
      <w:r w:rsidRPr="00C32334">
        <w:rPr>
          <w:lang w:val="it-IT" w:eastAsia="en-US"/>
        </w:rPr>
        <w:t xml:space="preserve">Số lượt người có thẻ bảo hiểm y tế đi khám bệnh, chữa bệnh tăng nhanh qua từng năm. Năm 2018, số lượt khám bệnh, chữa bệnh bảo hiểm y tế là 176,1 triệu lượt, trong đó, số lượt khám bệnh, chữa bệnh bảo hiểm y tế ngoại trú là 160,1 triệu lượt, số lượt khám bệnh, chữa bệnh bảo hiểm y tế nội trú là 16 triệu lượt. Năm 2019, số lượt khám bệnh, chữa bệnh bảo hiểm y tế là 184 triệu lượt, trong đó, số lượt khám bệnh, chữa bệnh bảo hiểm y tế ngoại trú là 166,9 triệu lượt, số lượt khám bệnh, chữa bệnh bảo hiểm y tế nội trú là 17,1 triệu lượt đều tăng so với năm 2018. </w:t>
      </w:r>
    </w:p>
    <w:p w14:paraId="10C28C02" w14:textId="0B70CAC8" w:rsidR="002F4D54" w:rsidRPr="00C32334" w:rsidRDefault="002F4D54" w:rsidP="00EE2A8D">
      <w:pPr>
        <w:spacing w:before="120" w:after="120"/>
        <w:ind w:firstLine="720"/>
        <w:jc w:val="both"/>
        <w:rPr>
          <w:rFonts w:ascii="Times New Roman" w:hAnsi="Times New Roman"/>
          <w:lang w:val="it-IT"/>
        </w:rPr>
      </w:pPr>
      <w:r w:rsidRPr="00C32334">
        <w:rPr>
          <w:rFonts w:ascii="Times New Roman" w:hAnsi="Times New Roman"/>
          <w:lang w:val="it-IT"/>
        </w:rPr>
        <w:t xml:space="preserve">Trong giai đoạn 2020 - 2022, do ảnh hưởng của dịch COVID-9, số lượt khám bệnh, chữa bệnh bảo hiểm y tế giảm so với giai đoạn 2015 - 2019. Năm 2020, số lượt khám bệnh, chữa bệnh bảo hiểm y tế toàn quốc là 167,3 triệu lượt (152 triệu lượt khám bệnh, chữa bệnh ngoại trú và 15,3 triệu lượt điều trị năm nội trú), giảm 16,7 triệu lượt so với năm 2019. Năm 2021, số lượt khám bệnh, chữa bệnh bảo hiểm y tế là 126,4 triệu lượt, giảm hơn gần 41 triệu lượt so với năm 2020. Năm 2022 khi tình hình dịch bệnh COVID-19 đã ổn định hơn, số lượt khám bệnh, chữa bệnh bảo hiểm y tế tăng lên 150,4 triệu lượt, tăng 24 triệu lượt so với năm 2021, trong đó số lượt khám bệnh, chữa bệnh bảo hiểm y tế ngoại trú là 134,9 </w:t>
      </w:r>
      <w:r w:rsidRPr="00C32334">
        <w:rPr>
          <w:rFonts w:ascii="Times New Roman" w:hAnsi="Times New Roman"/>
          <w:lang w:val="it-IT"/>
        </w:rPr>
        <w:lastRenderedPageBreak/>
        <w:t xml:space="preserve">triệu lượt, số lượt khám bệnh, chữa bệnh bảo hiểm y tế nội trú là 15,5 triệu lượt. </w:t>
      </w:r>
      <w:r w:rsidR="00AC22D7" w:rsidRPr="00C32334">
        <w:rPr>
          <w:rFonts w:ascii="Times New Roman" w:hAnsi="Times New Roman"/>
          <w:lang w:val="it-IT"/>
        </w:rPr>
        <w:t>N</w:t>
      </w:r>
      <w:r w:rsidRPr="00C32334">
        <w:rPr>
          <w:rFonts w:ascii="Times New Roman" w:hAnsi="Times New Roman"/>
          <w:lang w:val="it-IT"/>
        </w:rPr>
        <w:t>ăm 2023 có 174 triệu lượt</w:t>
      </w:r>
      <w:r w:rsidRPr="002F4D54">
        <w:rPr>
          <w:rFonts w:ascii="Times New Roman" w:hAnsi="Times New Roman"/>
          <w:lang w:val="vi-VN"/>
        </w:rPr>
        <w:t xml:space="preserve"> </w:t>
      </w:r>
      <w:r w:rsidRPr="00C32334">
        <w:rPr>
          <w:rFonts w:ascii="Times New Roman" w:hAnsi="Times New Roman"/>
          <w:lang w:val="it-IT"/>
        </w:rPr>
        <w:t>khám bệnh, chữa bệnh bảo hiểm y tế.</w:t>
      </w:r>
    </w:p>
    <w:p w14:paraId="3BB87CD7" w14:textId="6FF3A40B" w:rsidR="002B196C" w:rsidRPr="00CA3BDE" w:rsidRDefault="00876F74" w:rsidP="00EE2A8D">
      <w:pPr>
        <w:spacing w:before="120" w:after="120"/>
        <w:ind w:firstLine="851"/>
        <w:jc w:val="both"/>
        <w:rPr>
          <w:rFonts w:ascii="Times New Roman" w:hAnsi="Times New Roman"/>
          <w:b/>
          <w:spacing w:val="-2"/>
          <w:lang w:val="vi-VN"/>
        </w:rPr>
      </w:pPr>
      <w:r>
        <w:rPr>
          <w:rFonts w:ascii="Times New Roman" w:hAnsi="Times New Roman"/>
          <w:b/>
          <w:spacing w:val="-2"/>
          <w:lang w:val="es-ES"/>
        </w:rPr>
        <w:t>6</w:t>
      </w:r>
      <w:r w:rsidR="000631F3" w:rsidRPr="00CA3BDE">
        <w:rPr>
          <w:rFonts w:ascii="Times New Roman" w:hAnsi="Times New Roman"/>
          <w:b/>
          <w:spacing w:val="-2"/>
          <w:lang w:val="es-ES"/>
        </w:rPr>
        <w:t xml:space="preserve">. Về </w:t>
      </w:r>
      <w:r w:rsidR="002B196C" w:rsidRPr="00CA3BDE">
        <w:rPr>
          <w:rFonts w:ascii="Times New Roman" w:hAnsi="Times New Roman"/>
          <w:b/>
          <w:spacing w:val="-2"/>
          <w:lang w:val="vi-VN"/>
        </w:rPr>
        <w:t>thực hiện qu</w:t>
      </w:r>
      <w:r w:rsidR="00DA45D4" w:rsidRPr="00C32334">
        <w:rPr>
          <w:rFonts w:ascii="Times New Roman" w:hAnsi="Times New Roman"/>
          <w:b/>
          <w:spacing w:val="-2"/>
          <w:lang w:val="it-IT"/>
        </w:rPr>
        <w:t>y</w:t>
      </w:r>
      <w:r w:rsidR="002B196C" w:rsidRPr="00CA3BDE">
        <w:rPr>
          <w:rFonts w:ascii="Times New Roman" w:hAnsi="Times New Roman"/>
          <w:b/>
          <w:spacing w:val="-2"/>
          <w:lang w:val="vi-VN"/>
        </w:rPr>
        <w:t xml:space="preserve"> định giá dịch vụ khám bệnh, chữa bệnh</w:t>
      </w:r>
    </w:p>
    <w:p w14:paraId="2F9A1E9F" w14:textId="5507F50C" w:rsidR="002B196C" w:rsidRDefault="002B196C" w:rsidP="00EE2A8D">
      <w:pPr>
        <w:spacing w:before="120" w:after="120"/>
        <w:ind w:firstLine="851"/>
        <w:jc w:val="both"/>
        <w:rPr>
          <w:rFonts w:ascii="Times New Roman" w:hAnsi="Times New Roman"/>
          <w:spacing w:val="-2"/>
          <w:lang w:val="es-ES_tradnl"/>
        </w:rPr>
      </w:pPr>
      <w:r w:rsidRPr="00CA3BDE">
        <w:rPr>
          <w:rFonts w:ascii="Times New Roman" w:hAnsi="Times New Roman"/>
          <w:spacing w:val="-2"/>
          <w:lang w:val="es-ES_tradnl"/>
        </w:rPr>
        <w:t>- Việc</w:t>
      </w:r>
      <w:r w:rsidR="00254AC3">
        <w:rPr>
          <w:rFonts w:ascii="Times New Roman" w:hAnsi="Times New Roman"/>
          <w:spacing w:val="-2"/>
          <w:lang w:val="es-ES_tradnl"/>
        </w:rPr>
        <w:t xml:space="preserve"> thực hiện lộ trình</w:t>
      </w:r>
      <w:r w:rsidRPr="00CA3BDE">
        <w:rPr>
          <w:rFonts w:ascii="Times New Roman" w:hAnsi="Times New Roman"/>
          <w:spacing w:val="-2"/>
          <w:lang w:val="es-ES_tradnl"/>
        </w:rPr>
        <w:t xml:space="preserve"> tính đúng, tính đủ giá dịch vụ y tế đã góp phần quan trọng vào việc thực hiện nhiệm vụ chuyển chi thường xuyên từ ngân sách nhà nước cấp cho các cơ sở y tế sang hỗ trợ người dân tham gia </w:t>
      </w:r>
      <w:r w:rsidR="00B926CD" w:rsidRPr="00CA3BDE">
        <w:rPr>
          <w:rFonts w:ascii="Times New Roman" w:hAnsi="Times New Roman"/>
          <w:spacing w:val="-2"/>
          <w:lang w:val="es-ES_tradnl"/>
        </w:rPr>
        <w:t>BHYT</w:t>
      </w:r>
      <w:r w:rsidRPr="00CA3BDE">
        <w:rPr>
          <w:rFonts w:ascii="Times New Roman" w:hAnsi="Times New Roman"/>
          <w:spacing w:val="-2"/>
          <w:lang w:val="es-ES_tradnl"/>
        </w:rPr>
        <w:t xml:space="preserve">. Trong năm 2018 đã sử dụng khoảng 31.140 tỷ đồng, năm 2019 sử dụng khoảng 32.300 tỷ đồng chi sự nghiệp y tế (chiếm khoảng 35%) để hỗ trợ người nghèo, các đối tượng chính sách tham gia bảo hiểm y tế, góp phần đạt tỷ lệ 89,6% dân số tham gia </w:t>
      </w:r>
      <w:r w:rsidR="00B926CD" w:rsidRPr="00CA3BDE">
        <w:rPr>
          <w:rFonts w:ascii="Times New Roman" w:hAnsi="Times New Roman"/>
          <w:spacing w:val="-2"/>
          <w:lang w:val="es-ES_tradnl"/>
        </w:rPr>
        <w:t>BHYT</w:t>
      </w:r>
      <w:r w:rsidRPr="00CA3BDE">
        <w:rPr>
          <w:rFonts w:ascii="Times New Roman" w:hAnsi="Times New Roman"/>
          <w:spacing w:val="-2"/>
          <w:lang w:val="es-ES_tradnl"/>
        </w:rPr>
        <w:t xml:space="preserve"> vào tháng 8 năm 2019 (về đích trước 4 năm so với mục tiêu Quốc hội đặt ra: đến năm 2020 đạt ít nhất 80% dân số tham gia </w:t>
      </w:r>
      <w:r w:rsidR="00B926CD" w:rsidRPr="00CA3BDE">
        <w:rPr>
          <w:rFonts w:ascii="Times New Roman" w:hAnsi="Times New Roman"/>
          <w:spacing w:val="-2"/>
          <w:lang w:val="es-ES_tradnl"/>
        </w:rPr>
        <w:t>BHYT</w:t>
      </w:r>
      <w:r w:rsidRPr="00CA3BDE">
        <w:rPr>
          <w:rFonts w:ascii="Times New Roman" w:hAnsi="Times New Roman"/>
          <w:spacing w:val="-2"/>
          <w:lang w:val="es-ES_tradnl"/>
        </w:rPr>
        <w:t>).</w:t>
      </w:r>
    </w:p>
    <w:p w14:paraId="67682833" w14:textId="5B973C66" w:rsidR="005D2B7A" w:rsidRPr="00C32334" w:rsidRDefault="005D2B7A" w:rsidP="00EE2A8D">
      <w:pPr>
        <w:spacing w:before="120" w:after="120"/>
        <w:ind w:firstLine="720"/>
        <w:jc w:val="both"/>
        <w:rPr>
          <w:rFonts w:ascii="Times New Roman" w:hAnsi="Times New Roman"/>
          <w:lang w:val="es-ES_tradnl"/>
        </w:rPr>
      </w:pPr>
      <w:r w:rsidRPr="00C32334">
        <w:rPr>
          <w:rFonts w:ascii="Times New Roman" w:hAnsi="Times New Roman"/>
          <w:lang w:val="es-ES_tradnl"/>
        </w:rPr>
        <w:t xml:space="preserve">- Việc tính tiền lương vào giá dịch vụ khám bệnh, chữa bệnh </w:t>
      </w:r>
      <w:r w:rsidRPr="00CA3BDE">
        <w:rPr>
          <w:rFonts w:ascii="Times New Roman" w:hAnsi="Times New Roman"/>
          <w:spacing w:val="-2"/>
          <w:lang w:val="es-ES_tradnl"/>
        </w:rPr>
        <w:t>đã góp phần quan trọng vào việc thực hiện nhiệm vụ chuyển chi thường xuyên từ ngân sách nhà nước cấp cho các cơ sở y tế sang hỗ trợ người dân tham gia BHYT</w:t>
      </w:r>
      <w:r w:rsidRPr="00C32334">
        <w:rPr>
          <w:rFonts w:ascii="Times New Roman" w:hAnsi="Times New Roman"/>
          <w:lang w:val="es-ES_tradnl"/>
        </w:rPr>
        <w:t>. Cụ thể, năm 2018 so với năm 2015 (năm trước khi tính tiền lương vào giá) đã giảm được khoảng 38.981,55 tỷ đồng, trong đó các bệnh viện trực thuộc Bộ Y tế khoảng 620 tỷ đồng; các bệnh viện thuộc địa phương (55/63 tỉnh, thành phố) khoảng 8.361,55 tỷ đồng (TP Hồ Chí Minh giảm khoảng 1.323,5 tỷ đồng, Hà Nội khoảng 526,6 tỷ đồng, Thái Nguyên khoảng 346,79 tỷ đồng, Nghệ An khoảng 330 tỷ đồng, Bình Định 309 tỷ đồng,...). Số liệu giảm cấp ngân sách nhà nước sau khi điều chỉnh giá dịch vụ khám bệnh, chữa bệnh đã được các đơn vị, địa phương sử dụng chủ yếu để mua, hỗ trợ mua thẻ BHYT cho các đối tượng theo quy định của Luật BHYT, hỗ trợ cho người nghèo và các đối tượng chính sách; tăng cường y tế dự phòng, y tế cơ sở; mua bổ sung trang thiết bị, sửa chữa nâng cấp cơ sở hạ tầng và thực hiện cải cách hành chính. Do thực hiện được giá dịch vụ có tính tiền lương nên ước tính cả nước năm 2023 có khoảng 470/1.656 bệnh viện công đã tự bảo đảm toàn bộ chi hoạt động thường xuyên (28%), có 225/1.656 bệnh viện tự bảo đảm một phần trên 70%. Ngân sách nhà nước đã không phải thực hiện chi trả lương cho cán bộ y tế tại các đơn vị sự nghiệp công lập tự chủ chi thường xuyên và dành khoảng 35% nguồn kinh phí chi sự nghiệp y tế để đóng hoặc hỗ trợ người dân tham gia bảo hiểm y tế. Nguồn ngân sách nhà nước chi cho mua thẻ BHYT cho vùng nghèo, người nghèo, người hưởng các chính sách xã hội, hỗ trợ mức đóng bảo hiểm y tế cho người thuộc hộ cận nghèo đã gia tăng rõ rệt từ 5.875 tỷ đồng lên 46.900 tỷ đồng từ 2009-2024 (tăng gần 8 lần).</w:t>
      </w:r>
    </w:p>
    <w:p w14:paraId="21DB0C37" w14:textId="3ABCB80F" w:rsidR="005D2B7A" w:rsidRPr="00C32334" w:rsidRDefault="005D2B7A" w:rsidP="00EE2A8D">
      <w:pPr>
        <w:spacing w:before="120" w:after="120"/>
        <w:ind w:firstLine="720"/>
        <w:jc w:val="both"/>
        <w:rPr>
          <w:rFonts w:ascii="Times New Roman" w:hAnsi="Times New Roman"/>
          <w:lang w:val="es-ES_tradnl"/>
        </w:rPr>
      </w:pPr>
      <w:r w:rsidRPr="00C32334">
        <w:rPr>
          <w:rFonts w:ascii="Times New Roman" w:hAnsi="Times New Roman"/>
          <w:lang w:val="es-ES_tradnl"/>
        </w:rPr>
        <w:t>- Giá dịch vụ khám bệnh, chữa bệnh bảo hiểm y tế trước kia thực hiện theo quy định của pháp luật về phí, lệ phí, sau là Luật giá năm 2012, Luật giá năm 2023, chuyển quản lý từ khung giá, giá trần sang tính cơ cấu giá. Hiện nay, việc quản lý giá giữa Bộ Y tế và các địa phương có sự phân cấp rất cao</w:t>
      </w:r>
      <w:r w:rsidRPr="005D2B7A">
        <w:rPr>
          <w:rFonts w:ascii="Times New Roman" w:hAnsi="Times New Roman"/>
          <w:lang w:val="vi-VN"/>
        </w:rPr>
        <w:t xml:space="preserve"> và thực hiện định giá theo Luật </w:t>
      </w:r>
      <w:r w:rsidR="009C2830" w:rsidRPr="00C32334">
        <w:rPr>
          <w:rFonts w:ascii="Times New Roman" w:hAnsi="Times New Roman"/>
          <w:lang w:val="es-ES_tradnl"/>
        </w:rPr>
        <w:t>khám bệnh, chữa bệnh</w:t>
      </w:r>
      <w:r w:rsidRPr="00C32334">
        <w:rPr>
          <w:rFonts w:ascii="Times New Roman" w:hAnsi="Times New Roman"/>
          <w:lang w:val="es-ES_tradnl"/>
        </w:rPr>
        <w:t>.</w:t>
      </w:r>
      <w:r w:rsidR="00E316A4" w:rsidRPr="00C32334">
        <w:rPr>
          <w:rFonts w:ascii="Times New Roman" w:hAnsi="Times New Roman"/>
          <w:lang w:val="es-ES_tradnl"/>
        </w:rPr>
        <w:t xml:space="preserve"> Bộ trưởng Bộ Y tế đã ban hành Thông tư số 21/2024/TT-BYT ngày 17/10/2024 quy định phương pháp định giá dịch vụ khám bệnh, chữa bệnh.</w:t>
      </w:r>
    </w:p>
    <w:p w14:paraId="4FB9B327" w14:textId="77777777" w:rsidR="002B196C" w:rsidRDefault="002B196C" w:rsidP="00EE2A8D">
      <w:pPr>
        <w:spacing w:before="120" w:after="120"/>
        <w:ind w:firstLine="851"/>
        <w:jc w:val="both"/>
        <w:rPr>
          <w:rFonts w:ascii="Times New Roman" w:hAnsi="Times New Roman"/>
          <w:spacing w:val="-2"/>
          <w:lang w:val="es-ES_tradnl"/>
        </w:rPr>
      </w:pPr>
      <w:r w:rsidRPr="00CA3BDE">
        <w:rPr>
          <w:rFonts w:ascii="Times New Roman" w:hAnsi="Times New Roman"/>
          <w:spacing w:val="-2"/>
          <w:lang w:val="es-ES_tradnl"/>
        </w:rPr>
        <w:lastRenderedPageBreak/>
        <w:t>- Việc điều chỉnh giá cũng góp phần đảm bảo nguồn thu cho các cơ sở y tế; các bệnh viện có nguồn kinh phí để triển khai, phát triển các kỹ thuật y tế và trả lương, thu nhập cho cán bộ, công chức, viên chức, người lao động.</w:t>
      </w:r>
    </w:p>
    <w:p w14:paraId="221AB1AB" w14:textId="3DB57059" w:rsidR="000631F3" w:rsidRPr="00CA3BDE" w:rsidRDefault="00876F74" w:rsidP="00EE2A8D">
      <w:pPr>
        <w:spacing w:before="120" w:after="120"/>
        <w:ind w:firstLine="851"/>
        <w:jc w:val="both"/>
        <w:rPr>
          <w:rFonts w:ascii="Times New Roman" w:hAnsi="Times New Roman"/>
          <w:b/>
          <w:spacing w:val="-2"/>
          <w:lang w:val="nl-NL"/>
        </w:rPr>
      </w:pPr>
      <w:r>
        <w:rPr>
          <w:rFonts w:ascii="Times New Roman" w:hAnsi="Times New Roman"/>
          <w:b/>
          <w:spacing w:val="-2"/>
          <w:lang w:val="nl-NL"/>
        </w:rPr>
        <w:t>7</w:t>
      </w:r>
      <w:r w:rsidR="000631F3" w:rsidRPr="00CA3BDE">
        <w:rPr>
          <w:rFonts w:ascii="Times New Roman" w:hAnsi="Times New Roman"/>
          <w:b/>
          <w:spacing w:val="-2"/>
          <w:lang w:val="nl-NL"/>
        </w:rPr>
        <w:t>. Ứng dụng công nghệ thông tin trong quản lý khám bệnh, chữa bệnh và thanh toán bảo hiểm y tế</w:t>
      </w:r>
    </w:p>
    <w:p w14:paraId="751EA012" w14:textId="173CF19A" w:rsidR="000631F3" w:rsidRPr="00CA3BDE" w:rsidRDefault="000631F3" w:rsidP="00EE2A8D">
      <w:pPr>
        <w:spacing w:before="120" w:after="120"/>
        <w:ind w:firstLine="851"/>
        <w:jc w:val="both"/>
        <w:rPr>
          <w:rFonts w:ascii="Times New Roman" w:hAnsi="Times New Roman"/>
          <w:spacing w:val="-2"/>
          <w:lang w:val="nl-NL"/>
        </w:rPr>
      </w:pPr>
      <w:r w:rsidRPr="00CA3BDE">
        <w:rPr>
          <w:rFonts w:ascii="Times New Roman" w:hAnsi="Times New Roman"/>
          <w:spacing w:val="-2"/>
          <w:lang w:val="nl-NL"/>
        </w:rPr>
        <w:t>Thực hiện chỉ đạo của Chính phủ, Thủ tướng Chính phủ,</w:t>
      </w:r>
      <w:r w:rsidR="00356F76" w:rsidRPr="00CA3BDE">
        <w:rPr>
          <w:rFonts w:ascii="Times New Roman" w:hAnsi="Times New Roman"/>
          <w:spacing w:val="-2"/>
          <w:lang w:val="nl-NL"/>
        </w:rPr>
        <w:t xml:space="preserve"> Bộ Y tế, Bảo hiểm xã hội Việt Nam tiến hành xây dựng hệ thống tin học trong </w:t>
      </w:r>
      <w:r w:rsidR="00B926CD" w:rsidRPr="00CA3BDE">
        <w:rPr>
          <w:rFonts w:ascii="Times New Roman" w:hAnsi="Times New Roman"/>
          <w:spacing w:val="-2"/>
          <w:lang w:val="nl-NL"/>
        </w:rPr>
        <w:t>BHYT</w:t>
      </w:r>
      <w:r w:rsidR="00356F76" w:rsidRPr="00CA3BDE">
        <w:rPr>
          <w:rFonts w:ascii="Times New Roman" w:hAnsi="Times New Roman"/>
          <w:spacing w:val="-2"/>
          <w:lang w:val="nl-NL"/>
        </w:rPr>
        <w:t xml:space="preserve">, ban hành theo thẩm quyền các văn bản quy phạm pháp luật, các văn bản hướng dẫn triển khai ứng dụng công nghệ thông tin trong quản lý </w:t>
      </w:r>
      <w:r w:rsidR="00B926CD" w:rsidRPr="00CA3BDE">
        <w:rPr>
          <w:rFonts w:ascii="Times New Roman" w:hAnsi="Times New Roman"/>
          <w:spacing w:val="-2"/>
          <w:lang w:val="nl-NL"/>
        </w:rPr>
        <w:t>và giám định, thanh toán chi phí</w:t>
      </w:r>
      <w:r w:rsidR="00356F76" w:rsidRPr="00CA3BDE">
        <w:rPr>
          <w:rFonts w:ascii="Times New Roman" w:hAnsi="Times New Roman"/>
          <w:spacing w:val="-2"/>
          <w:lang w:val="nl-NL"/>
        </w:rPr>
        <w:t xml:space="preserve"> khám</w:t>
      </w:r>
      <w:r w:rsidR="00B926CD" w:rsidRPr="00CA3BDE">
        <w:rPr>
          <w:rFonts w:ascii="Times New Roman" w:hAnsi="Times New Roman"/>
          <w:spacing w:val="-2"/>
          <w:lang w:val="nl-NL"/>
        </w:rPr>
        <w:t xml:space="preserve"> bệnh</w:t>
      </w:r>
      <w:r w:rsidR="00356F76" w:rsidRPr="00CA3BDE">
        <w:rPr>
          <w:rFonts w:ascii="Times New Roman" w:hAnsi="Times New Roman"/>
          <w:spacing w:val="-2"/>
          <w:lang w:val="nl-NL"/>
        </w:rPr>
        <w:t xml:space="preserve">, chữa bệnh </w:t>
      </w:r>
      <w:r w:rsidR="00B926CD" w:rsidRPr="00CA3BDE">
        <w:rPr>
          <w:rFonts w:ascii="Times New Roman" w:hAnsi="Times New Roman"/>
          <w:spacing w:val="-2"/>
          <w:lang w:val="nl-NL"/>
        </w:rPr>
        <w:t>BHYT</w:t>
      </w:r>
      <w:r w:rsidR="00356F76" w:rsidRPr="00CA3BDE">
        <w:rPr>
          <w:rFonts w:ascii="Times New Roman" w:hAnsi="Times New Roman"/>
          <w:spacing w:val="-2"/>
          <w:lang w:val="vi-VN"/>
        </w:rPr>
        <w:t>.</w:t>
      </w:r>
      <w:r w:rsidRPr="00CA3BDE">
        <w:rPr>
          <w:rFonts w:ascii="Times New Roman" w:hAnsi="Times New Roman"/>
          <w:spacing w:val="-2"/>
          <w:lang w:val="nl-NL"/>
        </w:rPr>
        <w:t xml:space="preserve"> Bộ Y tế, BHXH Việt Nam và các đơn vị cung ứng dịch vụ công nghệ thông tin đã phối hợp chặt chẽ, chủ động, tích cực triển khai thực hiện ứng dụng công nghệ thông tin (CNTT) trong quản lý </w:t>
      </w:r>
      <w:r w:rsidR="00861A9B" w:rsidRPr="00CA3BDE">
        <w:rPr>
          <w:rFonts w:ascii="Times New Roman" w:hAnsi="Times New Roman"/>
          <w:spacing w:val="-2"/>
          <w:lang w:val="nl-NL"/>
        </w:rPr>
        <w:t>KCB</w:t>
      </w:r>
      <w:r w:rsidRPr="00CA3BDE">
        <w:rPr>
          <w:rFonts w:ascii="Times New Roman" w:hAnsi="Times New Roman"/>
          <w:spacing w:val="-2"/>
          <w:lang w:val="nl-NL"/>
        </w:rPr>
        <w:t xml:space="preserve"> và thanh toán </w:t>
      </w:r>
      <w:r w:rsidR="00861A9B" w:rsidRPr="00CA3BDE">
        <w:rPr>
          <w:rFonts w:ascii="Times New Roman" w:hAnsi="Times New Roman"/>
          <w:spacing w:val="-2"/>
          <w:lang w:val="nl-NL"/>
        </w:rPr>
        <w:t>BHYT</w:t>
      </w:r>
      <w:r w:rsidRPr="00CA3BDE">
        <w:rPr>
          <w:rFonts w:ascii="Times New Roman" w:hAnsi="Times New Roman"/>
          <w:spacing w:val="-2"/>
          <w:lang w:val="nl-NL"/>
        </w:rPr>
        <w:t xml:space="preserve"> để cải cách thủ tục hành chính, bảo đảm quyền lợi cho người tham gia BHYT và cơ sở </w:t>
      </w:r>
      <w:r w:rsidR="00861A9B" w:rsidRPr="00CA3BDE">
        <w:rPr>
          <w:rFonts w:ascii="Times New Roman" w:hAnsi="Times New Roman"/>
          <w:spacing w:val="-2"/>
          <w:lang w:val="nl-NL"/>
        </w:rPr>
        <w:t>KCB</w:t>
      </w:r>
      <w:r w:rsidRPr="00CA3BDE">
        <w:rPr>
          <w:rFonts w:ascii="Times New Roman" w:hAnsi="Times New Roman"/>
          <w:spacing w:val="-2"/>
          <w:lang w:val="nl-NL"/>
        </w:rPr>
        <w:t>. Kết quả đạt được như sau:</w:t>
      </w:r>
    </w:p>
    <w:p w14:paraId="32EFC029" w14:textId="6E751AAC" w:rsidR="000631F3" w:rsidRPr="00CA3BDE" w:rsidRDefault="000631F3" w:rsidP="00EE2A8D">
      <w:pPr>
        <w:spacing w:before="120" w:after="120"/>
        <w:ind w:firstLine="851"/>
        <w:jc w:val="both"/>
        <w:rPr>
          <w:rFonts w:ascii="Times New Roman" w:hAnsi="Times New Roman"/>
          <w:spacing w:val="-2"/>
          <w:lang w:val="nl-NL"/>
        </w:rPr>
      </w:pPr>
      <w:r w:rsidRPr="00CA3BDE">
        <w:rPr>
          <w:rFonts w:ascii="Times New Roman" w:hAnsi="Times New Roman"/>
          <w:spacing w:val="-2"/>
          <w:lang w:val="nl-NL"/>
        </w:rPr>
        <w:t>- Ban hành chuẩn dữ liệu đầu ra của phần mềm quản lý cơ sở khám chữa bệnh và Bộ mã danh mục dùng chung phiên bản số 0</w:t>
      </w:r>
      <w:r w:rsidR="00BB5669" w:rsidRPr="00CA3BDE">
        <w:rPr>
          <w:rFonts w:ascii="Times New Roman" w:hAnsi="Times New Roman"/>
          <w:spacing w:val="-2"/>
          <w:lang w:val="nl-NL"/>
        </w:rPr>
        <w:t>6</w:t>
      </w:r>
      <w:r w:rsidRPr="00CA3BDE">
        <w:rPr>
          <w:rFonts w:ascii="Times New Roman" w:hAnsi="Times New Roman"/>
          <w:spacing w:val="-2"/>
          <w:lang w:val="nl-NL"/>
        </w:rPr>
        <w:t xml:space="preserve">, gồm </w:t>
      </w:r>
      <w:r w:rsidR="00BB5669" w:rsidRPr="00CA3BDE">
        <w:rPr>
          <w:rFonts w:ascii="Times New Roman" w:hAnsi="Times New Roman"/>
          <w:spacing w:val="-2"/>
          <w:lang w:val="nl-NL"/>
        </w:rPr>
        <w:t>11</w:t>
      </w:r>
      <w:r w:rsidRPr="00CA3BDE">
        <w:rPr>
          <w:rFonts w:ascii="Times New Roman" w:hAnsi="Times New Roman"/>
          <w:spacing w:val="-2"/>
          <w:lang w:val="nl-NL"/>
        </w:rPr>
        <w:t xml:space="preserve"> Danh mục: Danh mục dịch vụ kỹ thuật; thuốc tân dược; thuốc và vị thuốc y học cổ truyền; vật tư y tế; bệnh y học cổ truyền; máu và chế phẩm máu; phân loại bệnh tật (ICD 10); Danh mục cơ sở khám bệnh, chữa bệnh.</w:t>
      </w:r>
      <w:r w:rsidR="00BB5669" w:rsidRPr="00CA3BDE">
        <w:rPr>
          <w:rFonts w:ascii="Times New Roman" w:hAnsi="Times New Roman"/>
          <w:spacing w:val="-2"/>
          <w:lang w:val="nl-NL"/>
        </w:rPr>
        <w:t>..</w:t>
      </w:r>
      <w:r w:rsidRPr="00CA3BDE">
        <w:rPr>
          <w:rFonts w:ascii="Times New Roman" w:hAnsi="Times New Roman"/>
          <w:spacing w:val="-2"/>
          <w:lang w:val="nl-NL"/>
        </w:rPr>
        <w:t xml:space="preserve"> Bộ Y tế đang phối hợp cùng Bảo hiểm xã hội Việt Nam và các cơ sở </w:t>
      </w:r>
      <w:r w:rsidR="00861A9B" w:rsidRPr="00CA3BDE">
        <w:rPr>
          <w:rFonts w:ascii="Times New Roman" w:hAnsi="Times New Roman"/>
          <w:spacing w:val="-2"/>
          <w:lang w:val="nl-NL"/>
        </w:rPr>
        <w:t>KCB</w:t>
      </w:r>
      <w:r w:rsidRPr="00CA3BDE">
        <w:rPr>
          <w:rFonts w:ascii="Times New Roman" w:hAnsi="Times New Roman"/>
          <w:spacing w:val="-2"/>
          <w:lang w:val="nl-NL"/>
        </w:rPr>
        <w:t xml:space="preserve"> trên toàn quốc tổng hợp, rà soát, bổ sung danh mục dùng chung trên toàn quốc để hoàn thiện bộ mã danh mục dùng chung</w:t>
      </w:r>
      <w:r w:rsidR="00BE1CA2" w:rsidRPr="00CA3BDE">
        <w:rPr>
          <w:rFonts w:ascii="Times New Roman" w:hAnsi="Times New Roman"/>
          <w:spacing w:val="-2"/>
          <w:lang w:val="nl-NL"/>
        </w:rPr>
        <w:t xml:space="preserve"> nêu trên;</w:t>
      </w:r>
      <w:r w:rsidR="002B170D" w:rsidRPr="00CA3BDE">
        <w:rPr>
          <w:rFonts w:ascii="Times New Roman" w:hAnsi="Times New Roman"/>
          <w:spacing w:val="-2"/>
          <w:lang w:val="nl-NL"/>
        </w:rPr>
        <w:t xml:space="preserve"> mã hãng sản xuất vật tư y tế và mã vật tư y tế</w:t>
      </w:r>
      <w:r w:rsidRPr="00CA3BDE">
        <w:rPr>
          <w:rFonts w:ascii="Times New Roman" w:hAnsi="Times New Roman"/>
          <w:spacing w:val="-2"/>
          <w:lang w:val="nl-NL"/>
        </w:rPr>
        <w:t xml:space="preserve">; đồng thời chỉnh sửa các bảng biểu trong dữ liệu đầu ra của các cơ sở </w:t>
      </w:r>
      <w:r w:rsidR="00861A9B" w:rsidRPr="00CA3BDE">
        <w:rPr>
          <w:rFonts w:ascii="Times New Roman" w:hAnsi="Times New Roman"/>
          <w:spacing w:val="-2"/>
          <w:lang w:val="nl-NL"/>
        </w:rPr>
        <w:t>KCB</w:t>
      </w:r>
      <w:r w:rsidRPr="00CA3BDE">
        <w:rPr>
          <w:rFonts w:ascii="Times New Roman" w:hAnsi="Times New Roman"/>
          <w:spacing w:val="-2"/>
          <w:lang w:val="nl-NL"/>
        </w:rPr>
        <w:t xml:space="preserve"> cho phù hợp với việc tiếp nhận dữ liệu của </w:t>
      </w:r>
      <w:r w:rsidR="00BB5669" w:rsidRPr="00CA3BDE">
        <w:rPr>
          <w:rFonts w:ascii="Times New Roman" w:hAnsi="Times New Roman"/>
          <w:spacing w:val="-2"/>
          <w:lang w:val="nl-NL"/>
        </w:rPr>
        <w:t>H</w:t>
      </w:r>
      <w:r w:rsidRPr="00CA3BDE">
        <w:rPr>
          <w:rFonts w:ascii="Times New Roman" w:hAnsi="Times New Roman"/>
          <w:spacing w:val="-2"/>
          <w:lang w:val="nl-NL"/>
        </w:rPr>
        <w:t xml:space="preserve">ệ thống </w:t>
      </w:r>
      <w:r w:rsidR="00BB5669" w:rsidRPr="00CA3BDE">
        <w:rPr>
          <w:rFonts w:ascii="Times New Roman" w:hAnsi="Times New Roman"/>
          <w:spacing w:val="-2"/>
          <w:lang w:val="nl-NL"/>
        </w:rPr>
        <w:t xml:space="preserve">Thông tin </w:t>
      </w:r>
      <w:r w:rsidRPr="00CA3BDE">
        <w:rPr>
          <w:rFonts w:ascii="Times New Roman" w:hAnsi="Times New Roman"/>
          <w:spacing w:val="-2"/>
          <w:lang w:val="nl-NL"/>
        </w:rPr>
        <w:t xml:space="preserve">giám định của Bảo hiểm xã hội Việt Nam và </w:t>
      </w:r>
      <w:r w:rsidR="00BB5669" w:rsidRPr="00CA3BDE">
        <w:rPr>
          <w:rFonts w:ascii="Times New Roman" w:hAnsi="Times New Roman"/>
          <w:spacing w:val="-2"/>
          <w:lang w:val="nl-NL"/>
        </w:rPr>
        <w:t>C</w:t>
      </w:r>
      <w:r w:rsidRPr="00CA3BDE">
        <w:rPr>
          <w:rFonts w:ascii="Times New Roman" w:hAnsi="Times New Roman"/>
          <w:spacing w:val="-2"/>
          <w:lang w:val="nl-NL"/>
        </w:rPr>
        <w:t xml:space="preserve">ổng </w:t>
      </w:r>
      <w:r w:rsidR="00BE1CA2" w:rsidRPr="00CA3BDE">
        <w:rPr>
          <w:rFonts w:ascii="Times New Roman" w:hAnsi="Times New Roman"/>
          <w:spacing w:val="-2"/>
          <w:lang w:val="nl-NL"/>
        </w:rPr>
        <w:t>T</w:t>
      </w:r>
      <w:r w:rsidRPr="00CA3BDE">
        <w:rPr>
          <w:rFonts w:ascii="Times New Roman" w:hAnsi="Times New Roman"/>
          <w:spacing w:val="-2"/>
          <w:lang w:val="nl-NL"/>
        </w:rPr>
        <w:t>iếp nhận dữ liệu y tế của Bộ Y tế.</w:t>
      </w:r>
    </w:p>
    <w:p w14:paraId="490BF58C" w14:textId="63395778" w:rsidR="000F4794" w:rsidRDefault="00356F76" w:rsidP="00EE2A8D">
      <w:pPr>
        <w:spacing w:before="120" w:after="120"/>
        <w:ind w:firstLine="851"/>
        <w:jc w:val="both"/>
        <w:rPr>
          <w:rFonts w:ascii="Times New Roman" w:hAnsi="Times New Roman"/>
          <w:color w:val="000000" w:themeColor="text1"/>
          <w:spacing w:val="-2"/>
          <w:lang w:val="it-IT"/>
        </w:rPr>
      </w:pPr>
      <w:r w:rsidRPr="00CA3BDE">
        <w:rPr>
          <w:rFonts w:ascii="Times New Roman" w:hAnsi="Times New Roman"/>
          <w:spacing w:val="-2"/>
          <w:lang w:val="nl-NL"/>
        </w:rPr>
        <w:t xml:space="preserve">Bảo hiểm xã hội Việt Nam đã tiếp tục hoàn thiện Hệ thống thông tin giám định </w:t>
      </w:r>
      <w:r w:rsidR="0061777B" w:rsidRPr="00CA3BDE">
        <w:rPr>
          <w:rFonts w:ascii="Times New Roman" w:hAnsi="Times New Roman"/>
          <w:spacing w:val="-2"/>
          <w:lang w:val="nl-NL"/>
        </w:rPr>
        <w:t>BHYT</w:t>
      </w:r>
      <w:r w:rsidRPr="00CA3BDE">
        <w:rPr>
          <w:rFonts w:ascii="Times New Roman" w:hAnsi="Times New Roman"/>
          <w:spacing w:val="-2"/>
          <w:lang w:val="nl-NL"/>
        </w:rPr>
        <w:t xml:space="preserve">, triển khai đào tạo cho </w:t>
      </w:r>
      <w:r w:rsidR="00345A7E" w:rsidRPr="00CA3BDE">
        <w:rPr>
          <w:rFonts w:ascii="Times New Roman" w:hAnsi="Times New Roman"/>
          <w:spacing w:val="-2"/>
          <w:lang w:val="nl-NL"/>
        </w:rPr>
        <w:t xml:space="preserve">người làm công tác </w:t>
      </w:r>
      <w:r w:rsidRPr="00CA3BDE">
        <w:rPr>
          <w:rFonts w:ascii="Times New Roman" w:hAnsi="Times New Roman"/>
          <w:spacing w:val="-2"/>
          <w:lang w:val="nl-NL"/>
        </w:rPr>
        <w:t>giám định</w:t>
      </w:r>
      <w:r w:rsidR="0061777B" w:rsidRPr="00CA3BDE">
        <w:rPr>
          <w:rFonts w:ascii="Times New Roman" w:hAnsi="Times New Roman"/>
          <w:spacing w:val="-2"/>
          <w:lang w:val="nl-NL"/>
        </w:rPr>
        <w:t xml:space="preserve"> và </w:t>
      </w:r>
      <w:r w:rsidRPr="00CA3BDE">
        <w:rPr>
          <w:rFonts w:ascii="Times New Roman" w:hAnsi="Times New Roman"/>
          <w:spacing w:val="-2"/>
          <w:lang w:val="nl-NL"/>
        </w:rPr>
        <w:t xml:space="preserve">nhân viên các cơ sở y tế, nâng cao hiệu quả công tác giám định </w:t>
      </w:r>
      <w:r w:rsidR="0061777B" w:rsidRPr="00CA3BDE">
        <w:rPr>
          <w:rFonts w:ascii="Times New Roman" w:hAnsi="Times New Roman"/>
          <w:spacing w:val="-2"/>
          <w:lang w:val="nl-NL"/>
        </w:rPr>
        <w:t>BHYT</w:t>
      </w:r>
      <w:r w:rsidRPr="00CA3BDE">
        <w:rPr>
          <w:rFonts w:ascii="Times New Roman" w:hAnsi="Times New Roman"/>
          <w:spacing w:val="-2"/>
          <w:lang w:val="nl-NL"/>
        </w:rPr>
        <w:t xml:space="preserve">, quản lý, sử dụng quỹ </w:t>
      </w:r>
      <w:r w:rsidR="0061777B" w:rsidRPr="00CA3BDE">
        <w:rPr>
          <w:rFonts w:ascii="Times New Roman" w:hAnsi="Times New Roman"/>
          <w:spacing w:val="-2"/>
          <w:lang w:val="nl-NL"/>
        </w:rPr>
        <w:t>BHYT</w:t>
      </w:r>
      <w:r w:rsidR="00345A7E" w:rsidRPr="00CA3BDE">
        <w:rPr>
          <w:rFonts w:ascii="Times New Roman" w:hAnsi="Times New Roman"/>
          <w:spacing w:val="-2"/>
          <w:lang w:val="nl-NL"/>
        </w:rPr>
        <w:t>.</w:t>
      </w:r>
      <w:r w:rsidR="000F4794" w:rsidRPr="00CA3BDE">
        <w:rPr>
          <w:rFonts w:ascii="Times New Roman" w:hAnsi="Times New Roman"/>
          <w:color w:val="000000" w:themeColor="text1"/>
          <w:spacing w:val="-2"/>
          <w:lang w:val="it-IT"/>
        </w:rPr>
        <w:t xml:space="preserve"> Định kỳ hằng tháng cập nhật các thông tin phân tích gia tăng số lượt, số chi khám, chữa bệnh BHYT, so sánh toàn quốc và từng khu vực theo từng tuyến, hạng bệnh viện và chi tiết đến từng cơ sở y tế; đánh giá mức độ chi theo các nhóm chi phí, tỷ lệ vào điều trị nội trú và thời gian nằm viện, phân tích tình hình sử dụng thuốc, đặc biệt là một số thuốc giá cao bất thường; các dịch vụ kỹ thuật có tần suất chỉ định lớn tại từng địa phương và từng cơ sở KCB. Tình hình chi KCB tại 63 BHXH tỉnh, thành phố được giám sát, theo dõi thường xuyên, các địa phương có tỷ lệ sử dụng dự toán cao được tập trung phân tích làm rõ nguyên nhân gia tăng chi KCB, thông báo, yêu cầu BHXH tỉnh tập trung kiểm tra, giám định các nội dung bất thường, có mức độ, tỷ lệ tăng không hợp lý. </w:t>
      </w:r>
    </w:p>
    <w:p w14:paraId="52B84D8A" w14:textId="69EAF08C" w:rsidR="00BD1486" w:rsidRPr="00C32334" w:rsidRDefault="00BD1486" w:rsidP="00EE2A8D">
      <w:pPr>
        <w:spacing w:before="120" w:after="120"/>
        <w:ind w:firstLine="720"/>
        <w:jc w:val="both"/>
        <w:rPr>
          <w:rFonts w:ascii="Times New Roman" w:hAnsi="Times New Roman"/>
          <w:b/>
          <w:bCs/>
          <w:lang w:val="it-IT"/>
        </w:rPr>
      </w:pPr>
      <w:r w:rsidRPr="00C32334">
        <w:rPr>
          <w:rFonts w:ascii="Times New Roman" w:hAnsi="Times New Roman"/>
          <w:b/>
          <w:bCs/>
          <w:lang w:val="it-IT"/>
        </w:rPr>
        <w:t>8. Công tác quản lý quỹ bảo hiểm y tế</w:t>
      </w:r>
    </w:p>
    <w:p w14:paraId="03837DFB" w14:textId="77777777" w:rsidR="00BD1486" w:rsidRPr="00C32334" w:rsidRDefault="00BD1486" w:rsidP="00EE2A8D">
      <w:pPr>
        <w:spacing w:before="120" w:after="120"/>
        <w:ind w:firstLine="720"/>
        <w:jc w:val="both"/>
        <w:rPr>
          <w:rFonts w:ascii="Times New Roman" w:hAnsi="Times New Roman"/>
          <w:lang w:val="it-IT"/>
        </w:rPr>
      </w:pPr>
      <w:r w:rsidRPr="00C32334">
        <w:rPr>
          <w:rFonts w:ascii="Times New Roman" w:hAnsi="Times New Roman"/>
          <w:lang w:val="it-IT"/>
        </w:rPr>
        <w:t xml:space="preserve">- Để quản lý, sử dụng có hiệu quả quỹ bảo hiểm y tế, thực hiện quy định của Luật bảo hiểm y tế, Bộ Y tế đã ban hành danh mục và tỷ lệ, điều kiện thanh toán đối với thuốc, hóa chất, vật tư y tế, dịch vụ kỹ thuật y tế thuộc phạm vi được hưởng của người tham gia bảo hiểm y tế; tiếp tục ban hành các hướng dẫn chẩn </w:t>
      </w:r>
      <w:r w:rsidRPr="00C32334">
        <w:rPr>
          <w:rFonts w:ascii="Times New Roman" w:hAnsi="Times New Roman"/>
          <w:lang w:val="it-IT"/>
        </w:rPr>
        <w:lastRenderedPageBreak/>
        <w:t>đoán điều trị, quy trình chuyên môn của các dịch vụ kỹ thuật; đổi mới phương thức thanh toán chi phí khám bệnh, chữa bệnh bảo hiểm y tế.</w:t>
      </w:r>
    </w:p>
    <w:p w14:paraId="6684A74D" w14:textId="77777777" w:rsidR="00BD1486" w:rsidRPr="00C32334" w:rsidRDefault="00BD1486" w:rsidP="00EE2A8D">
      <w:pPr>
        <w:spacing w:before="120" w:after="120"/>
        <w:ind w:firstLine="720"/>
        <w:jc w:val="both"/>
        <w:rPr>
          <w:rFonts w:ascii="Times New Roman" w:hAnsi="Times New Roman"/>
          <w:lang w:val="it-IT"/>
        </w:rPr>
      </w:pPr>
      <w:r w:rsidRPr="00C32334">
        <w:rPr>
          <w:rFonts w:ascii="Times New Roman" w:hAnsi="Times New Roman"/>
          <w:lang w:val="it-IT"/>
        </w:rPr>
        <w:t>- H</w:t>
      </w:r>
      <w:r w:rsidRPr="00767213">
        <w:rPr>
          <w:rFonts w:ascii="Times New Roman" w:hAnsi="Times New Roman"/>
          <w:lang w:val="vi-VN"/>
        </w:rPr>
        <w:t>ằ</w:t>
      </w:r>
      <w:r w:rsidRPr="00C32334">
        <w:rPr>
          <w:rFonts w:ascii="Times New Roman" w:hAnsi="Times New Roman"/>
          <w:lang w:val="it-IT"/>
        </w:rPr>
        <w:t>ng năm, Bộ Y tế chủ trì, phối hợp với Bộ Tài chính, Bảo hiểm xã hội Việt Nam xây dựng báo cáo quản lý và sử dụng quỹ bảo hiểm y tế báo cáo Chính phủ, báo cáo Quốc hội; phối hợp với Bộ Tài chính, Bảo hiểm xã hội Việt Nam xây dựng và trình Thủ tướng Chính phủ ban hành Quyết định về việc giao dự toán thu, chi bảo hiểm xã hội, bảo hiểm thất nghiệp, bảo hiểm y tế và chi phí quản lý bảo hiểm xã hội, bảo hiểm thất nghiệp, bảo hiểm y tế năm.</w:t>
      </w:r>
    </w:p>
    <w:p w14:paraId="0A1319C1" w14:textId="77777777" w:rsidR="00BD1486" w:rsidRPr="00C32334" w:rsidRDefault="00BD1486" w:rsidP="00EE2A8D">
      <w:pPr>
        <w:spacing w:before="120" w:after="120"/>
        <w:ind w:firstLine="720"/>
        <w:jc w:val="both"/>
        <w:rPr>
          <w:rFonts w:ascii="Times New Roman" w:hAnsi="Times New Roman"/>
          <w:lang w:val="it-IT"/>
        </w:rPr>
      </w:pPr>
      <w:r w:rsidRPr="00C32334">
        <w:rPr>
          <w:rFonts w:ascii="Times New Roman" w:hAnsi="Times New Roman"/>
          <w:lang w:val="it-IT"/>
        </w:rPr>
        <w:t>- Bộ Y tế đã ban hành các Chỉ thị, công văn để chỉ đạo trong toàn ngành y tế nhằm quản lý và sử dụng quỹ bảo hiểm y tế hiệu quả (Chỉ thị số 25/CT-BYT ngày 21/12/2020 của Bộ Y tế).</w:t>
      </w:r>
    </w:p>
    <w:p w14:paraId="7D9831B8" w14:textId="48A7420D" w:rsidR="00BD1486" w:rsidRPr="00C32334" w:rsidRDefault="00E40724" w:rsidP="00EE2A8D">
      <w:pPr>
        <w:spacing w:before="120" w:after="120"/>
        <w:ind w:firstLine="720"/>
        <w:jc w:val="both"/>
        <w:rPr>
          <w:rFonts w:ascii="Times New Roman" w:hAnsi="Times New Roman"/>
          <w:lang w:val="it-IT"/>
        </w:rPr>
      </w:pPr>
      <w:r w:rsidRPr="00C32334">
        <w:rPr>
          <w:rFonts w:ascii="Times New Roman" w:hAnsi="Times New Roman"/>
          <w:lang w:val="it-IT"/>
        </w:rPr>
        <w:t>- Nghị định số 75/2023/NĐ-CP ngày 19 tháng 10 năm 2023 sửa đổi, bổ sung một số điều của Nghị định số 146/2018/NĐ-CP đã bãi bỏ quy định về tổng mức thanh toán, điều này tạo thuận lợi trong việc thanh toán quyết chi phí khám bệnh, chữa bệnh bảo hiểm y tế nhưng vẫn bảo đảm việc quản lý, sử dụng quỹ bảo hiểm y tế hiệu quả, cân đối, theo đúng quy định của pháp luật</w:t>
      </w:r>
    </w:p>
    <w:p w14:paraId="511CE47D" w14:textId="77777777" w:rsidR="007A1862" w:rsidRPr="00CA3BDE" w:rsidRDefault="007A1862" w:rsidP="00EE2A8D">
      <w:pPr>
        <w:widowControl w:val="0"/>
        <w:spacing w:before="120" w:after="120"/>
        <w:ind w:firstLine="851"/>
        <w:jc w:val="both"/>
        <w:rPr>
          <w:rFonts w:ascii="Times New Roman" w:hAnsi="Times New Roman"/>
          <w:b/>
          <w:spacing w:val="-2"/>
          <w:lang w:val="vi-VN"/>
        </w:rPr>
      </w:pPr>
      <w:r w:rsidRPr="00CA3BDE">
        <w:rPr>
          <w:rFonts w:ascii="Times New Roman" w:hAnsi="Times New Roman"/>
          <w:b/>
          <w:spacing w:val="-2"/>
          <w:lang w:val="vi-VN"/>
        </w:rPr>
        <w:t xml:space="preserve">II. Kết quả đạt được </w:t>
      </w:r>
    </w:p>
    <w:p w14:paraId="495BA375" w14:textId="0BC3D9E1" w:rsidR="00DD27DD" w:rsidRPr="00DD27DD" w:rsidRDefault="00DD27DD" w:rsidP="00EE2A8D">
      <w:pPr>
        <w:spacing w:before="120" w:after="120"/>
        <w:ind w:firstLine="720"/>
        <w:jc w:val="both"/>
        <w:rPr>
          <w:rFonts w:ascii="Times New Roman" w:hAnsi="Times New Roman"/>
          <w:bCs/>
          <w:lang w:val="it-IT"/>
        </w:rPr>
      </w:pPr>
      <w:r w:rsidRPr="00DD27DD">
        <w:rPr>
          <w:rFonts w:ascii="Times New Roman" w:hAnsi="Times New Roman"/>
          <w:bCs/>
          <w:lang w:val="it-IT"/>
        </w:rPr>
        <w:t>Theo báo cáo của BHXH Việt Nam, tính đến 31/12/2023, số người tham gia BHYT là 93,628 triệu người, tăng 2,8% so với năm 2022, đạt tỷ lệ bao phủ BHYT khoảng 93,35% dân số (vượt 0,15% so với Nghị quyết 01/NQ-CP của Chính phủ).</w:t>
      </w:r>
      <w:r w:rsidR="004160C8">
        <w:rPr>
          <w:rFonts w:ascii="Times New Roman" w:hAnsi="Times New Roman"/>
          <w:bCs/>
          <w:lang w:val="it-IT"/>
        </w:rPr>
        <w:t xml:space="preserve"> </w:t>
      </w:r>
      <w:r w:rsidRPr="00DD27DD">
        <w:rPr>
          <w:rFonts w:ascii="Times New Roman" w:hAnsi="Times New Roman"/>
          <w:bCs/>
          <w:lang w:val="it-IT"/>
        </w:rPr>
        <w:t>Ước đến 31/8/2024, số người tham gia BHYT là 92,972 triệu người, tăng 1,68% so với cùng kỳ năm 2023</w:t>
      </w:r>
      <w:r w:rsidR="004160C8">
        <w:rPr>
          <w:rFonts w:ascii="Times New Roman" w:hAnsi="Times New Roman"/>
          <w:bCs/>
          <w:lang w:val="it-IT"/>
        </w:rPr>
        <w:t>, trong đó:</w:t>
      </w:r>
    </w:p>
    <w:p w14:paraId="6F2E4194" w14:textId="60F892A1" w:rsidR="004160C8" w:rsidRPr="00FD5416" w:rsidRDefault="00C01E27" w:rsidP="00EE2A8D">
      <w:pPr>
        <w:spacing w:before="120" w:after="120"/>
        <w:ind w:firstLine="851"/>
        <w:jc w:val="both"/>
        <w:rPr>
          <w:rFonts w:ascii="Times New Roman" w:hAnsi="Times New Roman"/>
          <w:lang w:val="de-DE"/>
        </w:rPr>
      </w:pPr>
      <w:r>
        <w:rPr>
          <w:rFonts w:ascii="Times New Roman" w:hAnsi="Times New Roman"/>
          <w:spacing w:val="-1"/>
          <w:shd w:val="clear" w:color="auto" w:fill="FFFFFF"/>
          <w:lang w:val="de-DE"/>
        </w:rPr>
        <w:t>-</w:t>
      </w:r>
      <w:r w:rsidR="004160C8" w:rsidRPr="00FD5416">
        <w:rPr>
          <w:rFonts w:ascii="Times New Roman" w:hAnsi="Times New Roman"/>
          <w:i/>
          <w:spacing w:val="-1"/>
          <w:shd w:val="clear" w:color="auto" w:fill="FFFFFF"/>
          <w:lang w:val="de-DE"/>
        </w:rPr>
        <w:t xml:space="preserve"> </w:t>
      </w:r>
      <w:r w:rsidR="004160C8" w:rsidRPr="00FD5416">
        <w:rPr>
          <w:rFonts w:ascii="Times New Roman" w:hAnsi="Times New Roman"/>
          <w:lang w:val="de-DE"/>
        </w:rPr>
        <w:t xml:space="preserve">Nhóm đối tượng tham gia </w:t>
      </w:r>
      <w:r w:rsidR="004160C8" w:rsidRPr="00FD5416">
        <w:rPr>
          <w:rFonts w:ascii="Times New Roman" w:hAnsi="Times New Roman"/>
          <w:lang w:val="pt-BR"/>
        </w:rPr>
        <w:t>BHYT</w:t>
      </w:r>
      <w:r w:rsidR="004160C8" w:rsidRPr="00FD5416">
        <w:rPr>
          <w:rFonts w:ascii="Times New Roman" w:hAnsi="Times New Roman"/>
          <w:lang w:val="de-DE"/>
        </w:rPr>
        <w:t xml:space="preserve"> do người SDLĐ và NLĐ đóng (nhóm 1): Tính đến ngày 30/6/2024, có </w:t>
      </w:r>
      <w:r w:rsidR="004160C8" w:rsidRPr="00C32334">
        <w:rPr>
          <w:rFonts w:ascii="Times New Roman" w:hAnsi="Times New Roman"/>
          <w:lang w:val="it-IT"/>
        </w:rPr>
        <w:t xml:space="preserve">15.180.514 </w:t>
      </w:r>
      <w:r w:rsidR="004160C8" w:rsidRPr="00FD5416">
        <w:rPr>
          <w:rFonts w:ascii="Times New Roman" w:hAnsi="Times New Roman"/>
          <w:lang w:val="de-DE"/>
        </w:rPr>
        <w:t xml:space="preserve">người thuộc nhóm này tham gia </w:t>
      </w:r>
      <w:r w:rsidR="004160C8" w:rsidRPr="00FD5416">
        <w:rPr>
          <w:rFonts w:ascii="Times New Roman" w:hAnsi="Times New Roman"/>
          <w:lang w:val="pt-BR"/>
        </w:rPr>
        <w:t>BHYT</w:t>
      </w:r>
      <w:r w:rsidR="004160C8" w:rsidRPr="00FD5416">
        <w:rPr>
          <w:rFonts w:ascii="Times New Roman" w:hAnsi="Times New Roman"/>
          <w:lang w:val="de-DE"/>
        </w:rPr>
        <w:t>, tăng 3,9 triệu người so với năm 2015.</w:t>
      </w:r>
    </w:p>
    <w:p w14:paraId="7FCE633C" w14:textId="23B6F18F" w:rsidR="004160C8" w:rsidRPr="00FD5416" w:rsidRDefault="00C01E27" w:rsidP="00EE2A8D">
      <w:pPr>
        <w:spacing w:before="120" w:after="120"/>
        <w:ind w:firstLine="709"/>
        <w:jc w:val="both"/>
        <w:rPr>
          <w:rFonts w:ascii="Times New Roman" w:eastAsia="MS Mincho" w:hAnsi="Times New Roman"/>
          <w:spacing w:val="-4"/>
          <w:lang w:val="de-DE"/>
        </w:rPr>
      </w:pPr>
      <w:r>
        <w:rPr>
          <w:rFonts w:ascii="Times New Roman" w:hAnsi="Times New Roman"/>
          <w:lang w:val="de-DE"/>
        </w:rPr>
        <w:t>-</w:t>
      </w:r>
      <w:r w:rsidR="004160C8" w:rsidRPr="00FD5416">
        <w:rPr>
          <w:rFonts w:ascii="Times New Roman" w:hAnsi="Times New Roman"/>
          <w:lang w:val="de-DE"/>
        </w:rPr>
        <w:t xml:space="preserve"> Nhóm do cơ quan BHXH đóng (nhóm 2): Tính đến ngày 30/6/2024, </w:t>
      </w:r>
      <w:r w:rsidR="004160C8" w:rsidRPr="00C32334">
        <w:rPr>
          <w:rFonts w:ascii="Times New Roman" w:hAnsi="Times New Roman"/>
          <w:lang w:val="de-DE"/>
        </w:rPr>
        <w:t xml:space="preserve">3.366.895 </w:t>
      </w:r>
      <w:r w:rsidR="004160C8" w:rsidRPr="00FD5416">
        <w:rPr>
          <w:rFonts w:ascii="Times New Roman" w:hAnsi="Times New Roman"/>
          <w:lang w:val="de-DE"/>
        </w:rPr>
        <w:t xml:space="preserve">người tham gia </w:t>
      </w:r>
      <w:r w:rsidR="004160C8" w:rsidRPr="00FD5416">
        <w:rPr>
          <w:rFonts w:ascii="Times New Roman" w:hAnsi="Times New Roman"/>
          <w:lang w:val="pt-BR"/>
        </w:rPr>
        <w:t>BHYT</w:t>
      </w:r>
      <w:r w:rsidR="004160C8" w:rsidRPr="00FD5416">
        <w:rPr>
          <w:rFonts w:ascii="Times New Roman" w:hAnsi="Times New Roman"/>
          <w:lang w:val="de-DE"/>
        </w:rPr>
        <w:t>, tăng khoảng 500 nghìn người so với năm 2015. Nhóm này có tỷ lệ tham gia ít biến động nhất so với các nhóm khác.</w:t>
      </w:r>
    </w:p>
    <w:p w14:paraId="6947BA99" w14:textId="029307E0" w:rsidR="004160C8" w:rsidRPr="00FD5416" w:rsidRDefault="00C01E27" w:rsidP="00EE2A8D">
      <w:pPr>
        <w:spacing w:before="120" w:after="120"/>
        <w:ind w:firstLine="851"/>
        <w:jc w:val="both"/>
        <w:rPr>
          <w:rFonts w:ascii="Times New Roman" w:hAnsi="Times New Roman"/>
          <w:lang w:val="de-DE"/>
        </w:rPr>
      </w:pPr>
      <w:r>
        <w:rPr>
          <w:rFonts w:ascii="Times New Roman" w:hAnsi="Times New Roman"/>
          <w:lang w:val="de-DE"/>
        </w:rPr>
        <w:t>-</w:t>
      </w:r>
      <w:r w:rsidR="004160C8" w:rsidRPr="00FD5416">
        <w:rPr>
          <w:rFonts w:ascii="Times New Roman" w:hAnsi="Times New Roman"/>
          <w:lang w:val="de-DE"/>
        </w:rPr>
        <w:t xml:space="preserve"> Nhóm đối tượng tham gia BHYT do Ngân sách Nhà nước (NSNN) đóng (nhóm 3): Là một trong các nhóm đối tượng có tỷ lệ tham gia </w:t>
      </w:r>
      <w:r w:rsidR="004160C8" w:rsidRPr="00FD5416">
        <w:rPr>
          <w:rFonts w:ascii="Times New Roman" w:hAnsi="Times New Roman"/>
          <w:lang w:val="pt-BR"/>
        </w:rPr>
        <w:t xml:space="preserve">BHYT </w:t>
      </w:r>
      <w:r w:rsidR="004160C8" w:rsidRPr="00FD5416">
        <w:rPr>
          <w:rFonts w:ascii="Times New Roman" w:hAnsi="Times New Roman"/>
          <w:lang w:val="de-DE"/>
        </w:rPr>
        <w:t xml:space="preserve">cao do được NSNN mua thẻ </w:t>
      </w:r>
      <w:r w:rsidR="004160C8" w:rsidRPr="00FD5416">
        <w:rPr>
          <w:rFonts w:ascii="Times New Roman" w:hAnsi="Times New Roman"/>
          <w:lang w:val="pt-BR"/>
        </w:rPr>
        <w:t xml:space="preserve">BHYT, </w:t>
      </w:r>
      <w:r w:rsidR="001B5B7C" w:rsidRPr="00FD5416">
        <w:rPr>
          <w:rFonts w:ascii="Times New Roman" w:hAnsi="Times New Roman"/>
          <w:lang w:val="de-DE"/>
        </w:rPr>
        <w:t>Đến 30/6/2024, số người tham gia BHYT là 28.2000.782 người.</w:t>
      </w:r>
    </w:p>
    <w:p w14:paraId="55031296" w14:textId="2322D635" w:rsidR="00FD5416" w:rsidRPr="00FD5416" w:rsidRDefault="00C01E27" w:rsidP="00EE2A8D">
      <w:pPr>
        <w:spacing w:before="120" w:after="120"/>
        <w:ind w:firstLine="709"/>
        <w:jc w:val="both"/>
        <w:rPr>
          <w:rFonts w:ascii="Times New Roman" w:hAnsi="Times New Roman"/>
          <w:lang w:val="de-DE"/>
        </w:rPr>
      </w:pPr>
      <w:r>
        <w:rPr>
          <w:rFonts w:ascii="Times New Roman" w:hAnsi="Times New Roman"/>
          <w:lang w:val="de-DE"/>
        </w:rPr>
        <w:t>-</w:t>
      </w:r>
      <w:r w:rsidR="00FD5416" w:rsidRPr="00FD5416">
        <w:rPr>
          <w:rFonts w:ascii="Times New Roman" w:hAnsi="Times New Roman"/>
          <w:lang w:val="de-DE"/>
        </w:rPr>
        <w:t xml:space="preserve"> Nhóm đối tượng do NSNN hỗ trợ đóng </w:t>
      </w:r>
      <w:r w:rsidR="00FD5416" w:rsidRPr="00FD5416">
        <w:rPr>
          <w:rFonts w:ascii="Times New Roman" w:hAnsi="Times New Roman"/>
          <w:lang w:val="pt-BR"/>
        </w:rPr>
        <w:t>BHYT</w:t>
      </w:r>
      <w:r w:rsidR="00FD5416" w:rsidRPr="00FD5416">
        <w:rPr>
          <w:rFonts w:ascii="Times New Roman" w:hAnsi="Times New Roman"/>
          <w:lang w:val="de-DE"/>
        </w:rPr>
        <w:t xml:space="preserve"> (nhóm 4): tính đến ngày 30/6/2024 có khoảng 21.898.188 người tham gia BHYT.</w:t>
      </w:r>
    </w:p>
    <w:p w14:paraId="63D06B49" w14:textId="7F3DB937" w:rsidR="00FD5416" w:rsidRPr="00FD5416" w:rsidRDefault="00C01E27" w:rsidP="00EE2A8D">
      <w:pPr>
        <w:pStyle w:val="BodyText"/>
        <w:spacing w:before="120"/>
        <w:ind w:right="113" w:firstLine="709"/>
        <w:jc w:val="both"/>
        <w:rPr>
          <w:rFonts w:ascii="Times New Roman" w:hAnsi="Times New Roman"/>
          <w:lang w:val="es-ES" w:eastAsia="en-AU"/>
        </w:rPr>
      </w:pPr>
      <w:r w:rsidRPr="00C32334">
        <w:rPr>
          <w:rFonts w:ascii="Times New Roman" w:hAnsi="Times New Roman"/>
          <w:color w:val="000000" w:themeColor="text1"/>
          <w:spacing w:val="-2"/>
          <w:lang w:val="de-DE"/>
        </w:rPr>
        <w:t>-</w:t>
      </w:r>
      <w:r w:rsidR="00FD5416" w:rsidRPr="00C32334">
        <w:rPr>
          <w:rFonts w:ascii="Times New Roman" w:hAnsi="Times New Roman"/>
          <w:color w:val="000000" w:themeColor="text1"/>
          <w:spacing w:val="-2"/>
          <w:lang w:val="de-DE"/>
        </w:rPr>
        <w:t xml:space="preserve"> </w:t>
      </w:r>
      <w:r w:rsidR="00FD5416" w:rsidRPr="00FD5416">
        <w:rPr>
          <w:rFonts w:ascii="Times New Roman" w:hAnsi="Times New Roman"/>
          <w:lang w:val="es-ES"/>
        </w:rPr>
        <w:t xml:space="preserve">Nhóm đối tượng tham gia BHYT theo hộ gia đình (nhóm 5): Tính đến ngày 30/6/2024, có 23.484.796 người thuộc nhóm này tham gia BHYT, đạt tỷ lệ khoảng 73% trên tổng số người thuộc diện tham gia. </w:t>
      </w:r>
    </w:p>
    <w:p w14:paraId="337A2045" w14:textId="3C0915B5" w:rsidR="00DF2490" w:rsidRPr="00C32334" w:rsidRDefault="00DF2490" w:rsidP="00EE2A8D">
      <w:pPr>
        <w:spacing w:before="120" w:after="120"/>
        <w:ind w:firstLine="851"/>
        <w:jc w:val="both"/>
        <w:rPr>
          <w:rFonts w:ascii="Times New Roman" w:hAnsi="Times New Roman"/>
          <w:b/>
          <w:spacing w:val="-2"/>
          <w:lang w:val="es-ES"/>
        </w:rPr>
      </w:pPr>
      <w:r w:rsidRPr="00CA3BDE">
        <w:rPr>
          <w:rFonts w:ascii="Times New Roman" w:hAnsi="Times New Roman"/>
          <w:b/>
          <w:spacing w:val="-2"/>
          <w:lang w:val="nl-NL"/>
        </w:rPr>
        <w:t>I</w:t>
      </w:r>
      <w:r w:rsidR="000F3E65" w:rsidRPr="00CA3BDE">
        <w:rPr>
          <w:rFonts w:ascii="Times New Roman" w:hAnsi="Times New Roman"/>
          <w:b/>
          <w:spacing w:val="-2"/>
          <w:lang w:val="nl-NL"/>
        </w:rPr>
        <w:t>I</w:t>
      </w:r>
      <w:r w:rsidRPr="00CA3BDE">
        <w:rPr>
          <w:rFonts w:ascii="Times New Roman" w:hAnsi="Times New Roman"/>
          <w:b/>
          <w:spacing w:val="-2"/>
          <w:lang w:val="nl-NL"/>
        </w:rPr>
        <w:t>I</w:t>
      </w:r>
      <w:r w:rsidRPr="00CA3BDE">
        <w:rPr>
          <w:rFonts w:ascii="Times New Roman" w:hAnsi="Times New Roman"/>
          <w:b/>
          <w:spacing w:val="-2"/>
          <w:lang w:val="vi-VN"/>
        </w:rPr>
        <w:t xml:space="preserve">. </w:t>
      </w:r>
      <w:r w:rsidR="002D2EC6" w:rsidRPr="00C32334">
        <w:rPr>
          <w:rFonts w:ascii="Times New Roman" w:hAnsi="Times New Roman"/>
          <w:b/>
          <w:spacing w:val="-2"/>
          <w:lang w:val="es-ES"/>
        </w:rPr>
        <w:t>Một số</w:t>
      </w:r>
      <w:r w:rsidRPr="00CA3BDE">
        <w:rPr>
          <w:rFonts w:ascii="Times New Roman" w:hAnsi="Times New Roman"/>
          <w:b/>
          <w:spacing w:val="-2"/>
          <w:lang w:val="vi-VN"/>
        </w:rPr>
        <w:t xml:space="preserve"> tồn tại, hạn chế</w:t>
      </w:r>
      <w:r w:rsidR="000F4794" w:rsidRPr="00CA3BDE">
        <w:rPr>
          <w:rFonts w:ascii="Times New Roman" w:hAnsi="Times New Roman"/>
          <w:b/>
          <w:spacing w:val="-2"/>
          <w:lang w:val="vi-VN"/>
        </w:rPr>
        <w:t>,</w:t>
      </w:r>
      <w:r w:rsidR="002D2EC6" w:rsidRPr="00C32334">
        <w:rPr>
          <w:rFonts w:ascii="Times New Roman" w:hAnsi="Times New Roman"/>
          <w:b/>
          <w:spacing w:val="-2"/>
          <w:lang w:val="es-ES"/>
        </w:rPr>
        <w:t xml:space="preserve"> bất cập và</w:t>
      </w:r>
      <w:r w:rsidR="000F4794" w:rsidRPr="00CA3BDE">
        <w:rPr>
          <w:rFonts w:ascii="Times New Roman" w:hAnsi="Times New Roman"/>
          <w:b/>
          <w:spacing w:val="-2"/>
          <w:lang w:val="vi-VN"/>
        </w:rPr>
        <w:t xml:space="preserve"> nguyên nhân</w:t>
      </w:r>
      <w:r w:rsidR="00363D39">
        <w:rPr>
          <w:rFonts w:ascii="Times New Roman" w:hAnsi="Times New Roman"/>
          <w:b/>
          <w:spacing w:val="-2"/>
          <w:lang w:val="vi-VN"/>
        </w:rPr>
        <w:t xml:space="preserve"> trong quá trình thực hiện</w:t>
      </w:r>
      <w:r w:rsidR="006D1C06" w:rsidRPr="00CA3BDE">
        <w:rPr>
          <w:rFonts w:ascii="Times New Roman" w:hAnsi="Times New Roman"/>
          <w:b/>
          <w:spacing w:val="-2"/>
          <w:lang w:val="vi-VN"/>
        </w:rPr>
        <w:t xml:space="preserve"> Nghị định số 146/2018/NĐ-CP</w:t>
      </w:r>
    </w:p>
    <w:p w14:paraId="5D8978CC" w14:textId="34D85FB0" w:rsidR="003F4DE4" w:rsidRPr="003F4DE4" w:rsidRDefault="003F4DE4" w:rsidP="00EE2A8D">
      <w:pPr>
        <w:spacing w:before="120" w:after="120"/>
        <w:ind w:firstLine="720"/>
        <w:jc w:val="both"/>
        <w:rPr>
          <w:rFonts w:ascii="Times New Roman" w:hAnsi="Times New Roman"/>
          <w:bCs/>
          <w:spacing w:val="-6"/>
          <w:lang w:val="nl-NL"/>
        </w:rPr>
      </w:pPr>
      <w:r w:rsidRPr="003F4DE4">
        <w:rPr>
          <w:rFonts w:ascii="Times New Roman" w:hAnsi="Times New Roman"/>
          <w:bCs/>
          <w:spacing w:val="-6"/>
          <w:lang w:val="nl-NL"/>
        </w:rPr>
        <w:lastRenderedPageBreak/>
        <w:t xml:space="preserve">1. </w:t>
      </w:r>
      <w:r w:rsidR="008F123D">
        <w:rPr>
          <w:rFonts w:ascii="Times New Roman" w:hAnsi="Times New Roman"/>
          <w:bCs/>
          <w:spacing w:val="-6"/>
          <w:lang w:val="nl-NL"/>
        </w:rPr>
        <w:t>Các quy định trong</w:t>
      </w:r>
      <w:r w:rsidRPr="003F4DE4">
        <w:rPr>
          <w:rFonts w:ascii="Times New Roman" w:hAnsi="Times New Roman"/>
          <w:bCs/>
          <w:spacing w:val="-6"/>
          <w:lang w:val="nl-NL"/>
        </w:rPr>
        <w:t xml:space="preserve"> Nghị định số 146/2018/NĐ-CP</w:t>
      </w:r>
      <w:r w:rsidR="008F123D">
        <w:rPr>
          <w:rFonts w:ascii="Times New Roman" w:hAnsi="Times New Roman"/>
          <w:bCs/>
          <w:spacing w:val="-6"/>
          <w:lang w:val="nl-NL"/>
        </w:rPr>
        <w:t xml:space="preserve"> về tuyến chuyên môn kỹ thuật</w:t>
      </w:r>
      <w:r w:rsidRPr="003F4DE4">
        <w:rPr>
          <w:rFonts w:ascii="Times New Roman" w:hAnsi="Times New Roman"/>
          <w:bCs/>
          <w:spacing w:val="-6"/>
          <w:lang w:val="nl-NL"/>
        </w:rPr>
        <w:t xml:space="preserve"> không còn phù hợp</w:t>
      </w:r>
      <w:r w:rsidR="008F123D">
        <w:rPr>
          <w:rFonts w:ascii="Times New Roman" w:hAnsi="Times New Roman"/>
          <w:bCs/>
          <w:spacing w:val="-6"/>
          <w:lang w:val="nl-NL"/>
        </w:rPr>
        <w:t xml:space="preserve"> với quy định của Luật khám bệnh, chữa bệnh năm 2023, Nghị định số 96/2023/NĐ-CP của Chính phủ</w:t>
      </w:r>
      <w:r w:rsidRPr="003F4DE4">
        <w:rPr>
          <w:rFonts w:ascii="Times New Roman" w:hAnsi="Times New Roman"/>
          <w:bCs/>
          <w:spacing w:val="-6"/>
          <w:lang w:val="nl-NL"/>
        </w:rPr>
        <w:t>, cần sửa đổi, bổ sung để bảo đảm tính thống nhất, đồng bộ.</w:t>
      </w:r>
    </w:p>
    <w:p w14:paraId="7DEC0CB6" w14:textId="77777777" w:rsidR="003F4DE4" w:rsidRPr="00C32334" w:rsidRDefault="003F4DE4" w:rsidP="00EE2A8D">
      <w:pPr>
        <w:spacing w:before="120" w:after="120"/>
        <w:ind w:firstLine="720"/>
        <w:jc w:val="both"/>
        <w:outlineLvl w:val="1"/>
        <w:rPr>
          <w:rFonts w:ascii="Times New Roman" w:hAnsi="Times New Roman"/>
          <w:lang w:val="nl-NL"/>
        </w:rPr>
      </w:pPr>
      <w:r w:rsidRPr="00C32334">
        <w:rPr>
          <w:rFonts w:ascii="Times New Roman" w:hAnsi="Times New Roman"/>
          <w:lang w:val="nl-NL"/>
        </w:rPr>
        <w:t>- Theo quy định của Luật khám bệnh, chữa bệnh năm 2023, trong đó Điều 104 quy định về cấp chuyên môn kỹ thuật trong khám bệnh, chữa bệnh, khoản 7 Điều 120 về hiệu lực thi hành quy định về cấp chuyên môn kỹ thuật trong khám bệnh, chữa bệnh từ ngày 01/01/2025.</w:t>
      </w:r>
    </w:p>
    <w:p w14:paraId="63B0A3D1" w14:textId="77777777" w:rsidR="003F4DE4" w:rsidRPr="00C32334" w:rsidRDefault="003F4DE4" w:rsidP="00EE2A8D">
      <w:pPr>
        <w:spacing w:before="120" w:after="120"/>
        <w:ind w:firstLine="720"/>
        <w:jc w:val="both"/>
        <w:outlineLvl w:val="1"/>
        <w:rPr>
          <w:rFonts w:ascii="Times New Roman" w:hAnsi="Times New Roman"/>
          <w:lang w:val="nl-NL"/>
        </w:rPr>
      </w:pPr>
      <w:r w:rsidRPr="00C32334">
        <w:rPr>
          <w:rFonts w:ascii="Times New Roman" w:hAnsi="Times New Roman"/>
          <w:lang w:val="nl-NL"/>
        </w:rPr>
        <w:t>- Nghị định 96/2023/NĐ-CP ngày 30/12/2023 của Chính phủ quy định chi tiết một số điều của </w:t>
      </w:r>
      <w:bookmarkStart w:id="2" w:name="tvpllink_bdcahznirl_1"/>
      <w:r w:rsidRPr="003F4DE4">
        <w:rPr>
          <w:rFonts w:ascii="Times New Roman" w:hAnsi="Times New Roman"/>
        </w:rPr>
        <w:fldChar w:fldCharType="begin"/>
      </w:r>
      <w:r w:rsidRPr="00C32334">
        <w:rPr>
          <w:rFonts w:ascii="Times New Roman" w:hAnsi="Times New Roman"/>
          <w:lang w:val="nl-NL"/>
        </w:rPr>
        <w:instrText>HYPERLINK "https://thuvienphapluat.vn/van-ban/The-thao-Y-te/Luat-15-2023-QH15-kham-benh-chua-benh-372143.aspx" \t "_blank"</w:instrText>
      </w:r>
      <w:r w:rsidRPr="003F4DE4">
        <w:rPr>
          <w:rFonts w:ascii="Times New Roman" w:hAnsi="Times New Roman"/>
        </w:rPr>
      </w:r>
      <w:r w:rsidRPr="003F4DE4">
        <w:rPr>
          <w:rFonts w:ascii="Times New Roman" w:hAnsi="Times New Roman"/>
        </w:rPr>
        <w:fldChar w:fldCharType="separate"/>
      </w:r>
      <w:r w:rsidRPr="00C32334">
        <w:rPr>
          <w:rFonts w:ascii="Times New Roman" w:hAnsi="Times New Roman"/>
          <w:lang w:val="nl-NL"/>
        </w:rPr>
        <w:t>Luật Khám bệnh, chữa bệnh</w:t>
      </w:r>
      <w:r w:rsidRPr="003F4DE4">
        <w:rPr>
          <w:rFonts w:ascii="Times New Roman" w:hAnsi="Times New Roman"/>
        </w:rPr>
        <w:fldChar w:fldCharType="end"/>
      </w:r>
      <w:bookmarkEnd w:id="2"/>
      <w:r w:rsidRPr="00C32334">
        <w:rPr>
          <w:rFonts w:ascii="Times New Roman" w:hAnsi="Times New Roman"/>
          <w:lang w:val="nl-NL"/>
        </w:rPr>
        <w:t xml:space="preserve">, tại Điều 89, 90, 146 quy định về </w:t>
      </w:r>
      <w:bookmarkStart w:id="3" w:name="dieu_89"/>
      <w:r w:rsidRPr="00C32334">
        <w:rPr>
          <w:rFonts w:ascii="Times New Roman" w:hAnsi="Times New Roman"/>
          <w:lang w:val="nl-NL"/>
        </w:rPr>
        <w:t>xếp cơ sở khám bệnh, chữa bệnh theo cấp chuyên môn kỹ thuật</w:t>
      </w:r>
      <w:bookmarkStart w:id="4" w:name="dieu_90"/>
      <w:bookmarkEnd w:id="3"/>
      <w:r w:rsidRPr="00C32334">
        <w:rPr>
          <w:rFonts w:ascii="Times New Roman" w:hAnsi="Times New Roman"/>
          <w:lang w:val="nl-NL"/>
        </w:rPr>
        <w:t>, Hồ sơ, thủ tục xếp cấp chuyên môn kỹ thuật</w:t>
      </w:r>
      <w:bookmarkEnd w:id="4"/>
      <w:r w:rsidRPr="00C32334">
        <w:rPr>
          <w:rFonts w:ascii="Times New Roman" w:hAnsi="Times New Roman"/>
          <w:lang w:val="nl-NL"/>
        </w:rPr>
        <w:t xml:space="preserve"> và </w:t>
      </w:r>
      <w:bookmarkStart w:id="5" w:name="dieu_146"/>
      <w:r w:rsidRPr="00C32334">
        <w:rPr>
          <w:rFonts w:ascii="Times New Roman" w:hAnsi="Times New Roman"/>
          <w:lang w:val="nl-NL"/>
        </w:rPr>
        <w:t>về xếp cấp chuyên môn kỹ thuật</w:t>
      </w:r>
      <w:bookmarkEnd w:id="5"/>
      <w:r w:rsidRPr="00C32334">
        <w:rPr>
          <w:rFonts w:ascii="Times New Roman" w:hAnsi="Times New Roman"/>
          <w:lang w:val="nl-NL"/>
        </w:rPr>
        <w:t>.</w:t>
      </w:r>
    </w:p>
    <w:p w14:paraId="0A8972F4" w14:textId="77777777" w:rsidR="003F4DE4" w:rsidRPr="00C32334" w:rsidRDefault="003F4DE4" w:rsidP="00EE2A8D">
      <w:pPr>
        <w:spacing w:before="120" w:after="120"/>
        <w:ind w:firstLine="720"/>
        <w:jc w:val="both"/>
        <w:outlineLvl w:val="1"/>
        <w:rPr>
          <w:rFonts w:ascii="Times New Roman" w:hAnsi="Times New Roman"/>
          <w:lang w:val="nl-NL"/>
        </w:rPr>
      </w:pPr>
      <w:r w:rsidRPr="00C32334">
        <w:rPr>
          <w:rFonts w:ascii="Times New Roman" w:hAnsi="Times New Roman"/>
          <w:lang w:val="nl-NL"/>
        </w:rPr>
        <w:t xml:space="preserve"> - </w:t>
      </w:r>
      <w:r w:rsidRPr="003F4DE4">
        <w:rPr>
          <w:rFonts w:ascii="Times New Roman" w:hAnsi="Times New Roman"/>
          <w:bCs/>
          <w:spacing w:val="-6"/>
          <w:lang w:val="nl-NL"/>
        </w:rPr>
        <w:t xml:space="preserve">Nghị định số 146/2018/NĐ-CP đang </w:t>
      </w:r>
      <w:r w:rsidRPr="00C32334">
        <w:rPr>
          <w:rFonts w:ascii="Times New Roman" w:hAnsi="Times New Roman"/>
          <w:bCs/>
          <w:lang w:val="nl-NL"/>
        </w:rPr>
        <w:t>quy</w:t>
      </w:r>
      <w:r w:rsidRPr="00C32334">
        <w:rPr>
          <w:rFonts w:ascii="Times New Roman" w:hAnsi="Times New Roman"/>
          <w:lang w:val="nl-NL"/>
        </w:rPr>
        <w:t xml:space="preserve"> định về tuyến chuyên môn kỹ thuật (tuyến trung ương, tuyến tỉnh, tuyến huyện, tuyến xã). Các quy định về chuyển tuyến bảo hiểm y tế hiện nay đang thực hiện trong </w:t>
      </w:r>
      <w:r w:rsidRPr="00C32334">
        <w:rPr>
          <w:rFonts w:ascii="Times New Roman" w:hAnsi="Times New Roman"/>
          <w:spacing w:val="-6"/>
          <w:lang w:val="nl-NL"/>
        </w:rPr>
        <w:t xml:space="preserve">Nghị định 146/2018/NĐ-CP </w:t>
      </w:r>
      <w:r w:rsidRPr="00C32334">
        <w:rPr>
          <w:rFonts w:ascii="Times New Roman" w:hAnsi="Times New Roman"/>
          <w:lang w:val="nl-NL"/>
        </w:rPr>
        <w:t>theo tuyến chuyên môn kỹ thuật vì vậy cần thiết phải sửa đổi, bổ sung.</w:t>
      </w:r>
    </w:p>
    <w:p w14:paraId="3120E279" w14:textId="77777777" w:rsidR="005C4BD1" w:rsidRPr="00C32334" w:rsidRDefault="005C4BD1" w:rsidP="00EE2A8D">
      <w:pPr>
        <w:spacing w:before="120" w:after="120"/>
        <w:ind w:firstLine="720"/>
        <w:jc w:val="both"/>
        <w:outlineLvl w:val="1"/>
        <w:rPr>
          <w:rFonts w:ascii="Times New Roman" w:hAnsi="Times New Roman"/>
          <w:lang w:val="nl-NL"/>
        </w:rPr>
      </w:pPr>
      <w:r w:rsidRPr="00C32334">
        <w:rPr>
          <w:rFonts w:ascii="Times New Roman" w:hAnsi="Times New Roman"/>
          <w:lang w:val="nl-NL"/>
        </w:rPr>
        <w:t>2. Quy định chi tiết và biện pháp thi hành một số điều của </w:t>
      </w:r>
    </w:p>
    <w:p w14:paraId="6271EE6C" w14:textId="68C9A84F" w:rsidR="005C4BD1" w:rsidRPr="00C32334" w:rsidRDefault="005C4BD1" w:rsidP="00EE2A8D">
      <w:pPr>
        <w:spacing w:before="120" w:after="120"/>
        <w:ind w:firstLine="720"/>
        <w:jc w:val="both"/>
        <w:outlineLvl w:val="1"/>
        <w:rPr>
          <w:rFonts w:ascii="Times New Roman" w:hAnsi="Times New Roman"/>
          <w:lang w:val="nl-NL"/>
        </w:rPr>
      </w:pPr>
      <w:r w:rsidRPr="00C32334">
        <w:rPr>
          <w:rFonts w:ascii="Times New Roman" w:hAnsi="Times New Roman"/>
          <w:lang w:val="nl-NL"/>
        </w:rPr>
        <w:t xml:space="preserve">Luật sửa đổi, bổ sung một số điều của Luật bảo hiểm y tế  số </w:t>
      </w:r>
      <w:r w:rsidR="00FF637C">
        <w:rPr>
          <w:rFonts w:ascii="Times New Roman" w:hAnsi="Times New Roman"/>
          <w:lang w:val="nl-NL"/>
        </w:rPr>
        <w:t>51</w:t>
      </w:r>
      <w:r w:rsidRPr="00C32334">
        <w:rPr>
          <w:rFonts w:ascii="Times New Roman" w:hAnsi="Times New Roman"/>
          <w:lang w:val="nl-NL"/>
        </w:rPr>
        <w:t>/2024/QH15 ngày 27 tháng 11 năm 2024 với một số quy định có hiệu lực từ ngày 01/01/2025</w:t>
      </w:r>
      <w:r w:rsidR="001F5243" w:rsidRPr="00C32334">
        <w:rPr>
          <w:rFonts w:ascii="Times New Roman" w:hAnsi="Times New Roman"/>
          <w:lang w:val="nl-NL"/>
        </w:rPr>
        <w:t>, một số nội dung giao Chính phủ hướng dẫn thực hiện, một số quy định trong luật trùng với Nghị định, vì vậy, cần sửa đổi, bổ sung Nghị định số 146/2018/NĐ-CP, đã được sửa đổi, bổ sung bởi Nghị định số 75/2023/NĐ-CP.</w:t>
      </w:r>
    </w:p>
    <w:p w14:paraId="5A897F7D" w14:textId="7F74EC5E" w:rsidR="00E316A4" w:rsidRPr="00C32334" w:rsidRDefault="00B45C73" w:rsidP="00EE2A8D">
      <w:pPr>
        <w:pStyle w:val="NormalWeb"/>
        <w:spacing w:before="120" w:beforeAutospacing="0" w:after="120" w:afterAutospacing="0"/>
        <w:ind w:firstLine="567"/>
        <w:jc w:val="both"/>
        <w:rPr>
          <w:sz w:val="28"/>
          <w:szCs w:val="28"/>
          <w:lang w:val="nl-NL"/>
        </w:rPr>
      </w:pPr>
      <w:r w:rsidRPr="00C32334">
        <w:rPr>
          <w:sz w:val="28"/>
          <w:szCs w:val="28"/>
          <w:lang w:val="nl-NL"/>
        </w:rPr>
        <w:t xml:space="preserve">3. </w:t>
      </w:r>
      <w:r w:rsidR="00E316A4" w:rsidRPr="00C32334">
        <w:rPr>
          <w:sz w:val="28"/>
          <w:szCs w:val="28"/>
          <w:lang w:val="nl-NL"/>
        </w:rPr>
        <w:t>Một số bất cập trong tổ chức thực hiện</w:t>
      </w:r>
    </w:p>
    <w:p w14:paraId="0D81E89F" w14:textId="77777777" w:rsidR="00640BFB" w:rsidRPr="00C32334" w:rsidRDefault="00640BFB" w:rsidP="00640BFB">
      <w:pPr>
        <w:pStyle w:val="NormalWeb"/>
        <w:spacing w:before="120" w:beforeAutospacing="0" w:after="120" w:afterAutospacing="0"/>
        <w:ind w:firstLine="567"/>
        <w:jc w:val="both"/>
        <w:rPr>
          <w:bCs/>
          <w:color w:val="000000"/>
          <w:sz w:val="28"/>
          <w:szCs w:val="28"/>
          <w:lang w:val="nl-NL"/>
        </w:rPr>
      </w:pPr>
      <w:r w:rsidRPr="00C32334">
        <w:rPr>
          <w:sz w:val="28"/>
          <w:szCs w:val="28"/>
          <w:lang w:val="nl-NL"/>
        </w:rPr>
        <w:t>- Bất cập trong việc xác định nguồn đóng của đối tượng Người dân các xã an toàn khu, vùng an toàn khu cách mạng trong kháng chiến chống Pháp và chống Mỹ hiện đang thường trú tại các xã an toàn khu cách mạng trong kháng chiến chống Pháp và chống Mỹ đã được cập nhật thông tin trong Cơ sở dữ liệu quốc gia về dân cư, Cơ sở dữ liệu về cư trú mà không thuộc</w:t>
      </w:r>
      <w:r w:rsidRPr="00C32334">
        <w:rPr>
          <w:bCs/>
          <w:color w:val="000000"/>
          <w:sz w:val="28"/>
          <w:szCs w:val="28"/>
          <w:lang w:val="nl-NL"/>
        </w:rPr>
        <w:t xml:space="preserve"> đối tượng quy định tại các khoản 1, 2 và 3 Điều 12 Luật Bảo hiểm y tế.</w:t>
      </w:r>
    </w:p>
    <w:p w14:paraId="4BC5C725" w14:textId="77777777" w:rsidR="00640BFB" w:rsidRPr="00C32334" w:rsidRDefault="00640BFB" w:rsidP="00640BFB">
      <w:pPr>
        <w:pStyle w:val="NormalWeb"/>
        <w:spacing w:before="120" w:beforeAutospacing="0" w:after="120" w:afterAutospacing="0"/>
        <w:ind w:firstLine="567"/>
        <w:jc w:val="both"/>
        <w:rPr>
          <w:color w:val="000000"/>
          <w:sz w:val="28"/>
          <w:szCs w:val="28"/>
          <w:lang w:val="nl-NL" w:eastAsia="vi-VN"/>
        </w:rPr>
      </w:pPr>
      <w:r w:rsidRPr="00C32334">
        <w:rPr>
          <w:bCs/>
          <w:color w:val="000000"/>
          <w:sz w:val="28"/>
          <w:szCs w:val="28"/>
          <w:lang w:val="nl-NL"/>
        </w:rPr>
        <w:t>- Bất cập trong việc xác định đóng của đối tượng trẻ em dưới 6 tuổi do có quy định “đối với các đối tượng được bổ sung trong năm, tính tiền đóng từ ngày được xác định tại quyết định phê duyệt danh sách của cơ quan có thẩm quyền;” và “</w:t>
      </w:r>
      <w:r w:rsidRPr="008C46B2">
        <w:rPr>
          <w:color w:val="000000"/>
          <w:sz w:val="28"/>
          <w:szCs w:val="28"/>
          <w:lang w:val="vi-VN" w:eastAsia="vi-VN"/>
        </w:rPr>
        <w:t>Số tiền đóng bảo hiểm y tế đối với trẻ em dưới 6 tuổi được tính từ ngày sinh đ</w:t>
      </w:r>
      <w:r w:rsidRPr="00C32334">
        <w:rPr>
          <w:color w:val="000000"/>
          <w:sz w:val="28"/>
          <w:szCs w:val="28"/>
          <w:lang w:val="nl-NL"/>
        </w:rPr>
        <w:t>ế</w:t>
      </w:r>
      <w:r w:rsidRPr="008C46B2">
        <w:rPr>
          <w:color w:val="000000"/>
          <w:sz w:val="28"/>
          <w:szCs w:val="28"/>
          <w:lang w:val="vi-VN" w:eastAsia="vi-VN"/>
        </w:rPr>
        <w:t>n ngày trẻ đủ 72 tháng tuổi</w:t>
      </w:r>
      <w:r w:rsidRPr="00C32334">
        <w:rPr>
          <w:color w:val="000000"/>
          <w:sz w:val="28"/>
          <w:szCs w:val="28"/>
          <w:lang w:val="nl-NL" w:eastAsia="vi-VN"/>
        </w:rPr>
        <w:t>”.</w:t>
      </w:r>
    </w:p>
    <w:p w14:paraId="7D75B6CC" w14:textId="77777777" w:rsidR="00640BFB" w:rsidRPr="00C32334" w:rsidRDefault="00640BFB" w:rsidP="00640BFB">
      <w:pPr>
        <w:pStyle w:val="NormalWeb"/>
        <w:spacing w:before="120" w:beforeAutospacing="0" w:after="120" w:afterAutospacing="0"/>
        <w:ind w:firstLine="567"/>
        <w:jc w:val="both"/>
        <w:rPr>
          <w:color w:val="000000"/>
          <w:sz w:val="28"/>
          <w:szCs w:val="28"/>
          <w:lang w:val="nl-NL" w:eastAsia="vi-VN"/>
        </w:rPr>
      </w:pPr>
      <w:r w:rsidRPr="00C32334">
        <w:rPr>
          <w:color w:val="000000"/>
          <w:sz w:val="28"/>
          <w:szCs w:val="28"/>
          <w:lang w:val="nl-NL" w:eastAsia="vi-VN"/>
        </w:rPr>
        <w:t>- Một số bất cập trong Mẫu hợp đồng khám bệnh, chữa bệnh bảo hiểm y tế như chưa có thông tin giường bệnh, điều kiện, nội dung tạm dừng Hợp đồng.</w:t>
      </w:r>
    </w:p>
    <w:p w14:paraId="27F2A094" w14:textId="77777777" w:rsidR="00640BFB" w:rsidRPr="00C32334" w:rsidRDefault="00640BFB" w:rsidP="00640BFB">
      <w:pPr>
        <w:pStyle w:val="NormalWeb"/>
        <w:spacing w:before="120" w:beforeAutospacing="0" w:after="120" w:afterAutospacing="0"/>
        <w:ind w:firstLine="567"/>
        <w:jc w:val="both"/>
        <w:rPr>
          <w:color w:val="000000"/>
          <w:sz w:val="28"/>
          <w:szCs w:val="28"/>
          <w:lang w:val="nl-NL" w:eastAsia="vi-VN"/>
        </w:rPr>
      </w:pPr>
      <w:r w:rsidRPr="00C32334">
        <w:rPr>
          <w:color w:val="000000"/>
          <w:sz w:val="28"/>
          <w:szCs w:val="28"/>
          <w:lang w:val="nl-NL" w:eastAsia="vi-VN"/>
        </w:rPr>
        <w:t>- Chưa quy định cụ thể hồ sơ thanh toán chi phí vận chuyển người bệnh theo quy định.</w:t>
      </w:r>
    </w:p>
    <w:p w14:paraId="220719F8" w14:textId="77777777" w:rsidR="00640BFB" w:rsidRPr="00C32334" w:rsidRDefault="00640BFB" w:rsidP="00640BFB">
      <w:pPr>
        <w:pStyle w:val="NormalWeb"/>
        <w:spacing w:before="120" w:beforeAutospacing="0" w:after="120" w:afterAutospacing="0"/>
        <w:ind w:firstLine="567"/>
        <w:jc w:val="both"/>
        <w:rPr>
          <w:color w:val="000000"/>
          <w:sz w:val="28"/>
          <w:szCs w:val="28"/>
          <w:lang w:val="nl-NL" w:eastAsia="vi-VN"/>
        </w:rPr>
      </w:pPr>
      <w:r w:rsidRPr="00C32334">
        <w:rPr>
          <w:color w:val="000000"/>
          <w:sz w:val="28"/>
          <w:szCs w:val="28"/>
          <w:lang w:val="nl-NL" w:eastAsia="vi-VN"/>
        </w:rPr>
        <w:t xml:space="preserve">- Thanh toán chi phí trực tiếp cho người bệnh </w:t>
      </w:r>
      <w:r w:rsidRPr="008C46B2">
        <w:rPr>
          <w:color w:val="000000"/>
          <w:sz w:val="28"/>
          <w:szCs w:val="28"/>
          <w:lang w:val="vi-VN" w:eastAsia="vi-VN"/>
        </w:rPr>
        <w:t xml:space="preserve">đi khám bệnh, chữa bệnh tại nơi đăng ký khám bệnh, chữa bệnh ban đầu không đúng quy định tại khoản 1 Điều 28 của Luật bảo hiểm y tế được quỹ bảo hiểm y tế </w:t>
      </w:r>
      <w:r w:rsidRPr="00C32334">
        <w:rPr>
          <w:color w:val="000000"/>
          <w:sz w:val="28"/>
          <w:szCs w:val="28"/>
          <w:lang w:val="nl-NL" w:eastAsia="vi-VN"/>
        </w:rPr>
        <w:t xml:space="preserve">chưa tương xứng với quyền lợi </w:t>
      </w:r>
      <w:r w:rsidRPr="00C32334">
        <w:rPr>
          <w:color w:val="000000"/>
          <w:sz w:val="28"/>
          <w:szCs w:val="28"/>
          <w:lang w:val="nl-NL" w:eastAsia="vi-VN"/>
        </w:rPr>
        <w:lastRenderedPageBreak/>
        <w:t>của người bệnh tại Luật sửa đổi, bổ sung một số điều của Luật bảo hiểm y tế năm 2024.</w:t>
      </w:r>
    </w:p>
    <w:p w14:paraId="0B09DAC3" w14:textId="3CC9DDB1" w:rsidR="009122C0" w:rsidRPr="00CA3BDE" w:rsidRDefault="00E60DD6" w:rsidP="00EE2A8D">
      <w:pPr>
        <w:pStyle w:val="NormalWeb"/>
        <w:shd w:val="clear" w:color="auto" w:fill="FFFFFF"/>
        <w:spacing w:before="120" w:beforeAutospacing="0" w:after="120" w:afterAutospacing="0"/>
        <w:ind w:firstLine="851"/>
        <w:jc w:val="both"/>
        <w:rPr>
          <w:b/>
          <w:bCs/>
          <w:spacing w:val="-2"/>
          <w:sz w:val="28"/>
          <w:szCs w:val="28"/>
          <w:lang w:val="it-IT"/>
        </w:rPr>
      </w:pPr>
      <w:r w:rsidRPr="00CA3BDE">
        <w:rPr>
          <w:b/>
          <w:bCs/>
          <w:spacing w:val="-2"/>
          <w:sz w:val="28"/>
          <w:szCs w:val="28"/>
          <w:lang w:val="it-IT"/>
        </w:rPr>
        <w:t>IV</w:t>
      </w:r>
      <w:r w:rsidR="009122C0" w:rsidRPr="00CA3BDE">
        <w:rPr>
          <w:b/>
          <w:bCs/>
          <w:spacing w:val="-2"/>
          <w:sz w:val="28"/>
          <w:szCs w:val="28"/>
          <w:lang w:val="it-IT"/>
        </w:rPr>
        <w:t xml:space="preserve">. </w:t>
      </w:r>
      <w:r w:rsidR="0061094E" w:rsidRPr="00CA3BDE">
        <w:rPr>
          <w:b/>
          <w:bCs/>
          <w:spacing w:val="-2"/>
          <w:sz w:val="28"/>
          <w:szCs w:val="28"/>
          <w:lang w:val="vi-VN"/>
        </w:rPr>
        <w:t>K</w:t>
      </w:r>
      <w:r w:rsidR="009122C0" w:rsidRPr="00CA3BDE">
        <w:rPr>
          <w:b/>
          <w:bCs/>
          <w:spacing w:val="-2"/>
          <w:sz w:val="28"/>
          <w:szCs w:val="28"/>
          <w:lang w:val="it-IT"/>
        </w:rPr>
        <w:t>iến nghị</w:t>
      </w:r>
    </w:p>
    <w:p w14:paraId="0C9658AE" w14:textId="77777777" w:rsidR="0061564E" w:rsidRPr="00C32334" w:rsidRDefault="004329C5" w:rsidP="00EE2A8D">
      <w:pPr>
        <w:tabs>
          <w:tab w:val="num" w:pos="360"/>
        </w:tabs>
        <w:spacing w:before="120" w:after="120"/>
        <w:ind w:firstLine="720"/>
        <w:jc w:val="both"/>
        <w:rPr>
          <w:rFonts w:ascii="Times New Roman" w:hAnsi="Times New Roman"/>
          <w:lang w:val="nl-NL"/>
        </w:rPr>
      </w:pPr>
      <w:r w:rsidRPr="00C32334">
        <w:rPr>
          <w:rFonts w:ascii="Times New Roman" w:hAnsi="Times New Roman"/>
          <w:lang w:val="nl-NL"/>
        </w:rPr>
        <w:t xml:space="preserve">Sau 6 năm thực hiện Nghị định số 146/2018/NĐ-CP, bên cạnh các kết quả đạt được đáng ghi nhận với tỷ lệ 93,35% dân số tham gia bảo hiểm y tế, quá trình triển khai thi hành </w:t>
      </w:r>
      <w:r w:rsidR="00304138" w:rsidRPr="00C32334">
        <w:rPr>
          <w:rFonts w:ascii="Times New Roman" w:hAnsi="Times New Roman"/>
          <w:lang w:val="nl-NL"/>
        </w:rPr>
        <w:t xml:space="preserve">Nghị định số 146/2018/NĐ-CP </w:t>
      </w:r>
      <w:r w:rsidRPr="00C32334">
        <w:rPr>
          <w:rFonts w:ascii="Times New Roman" w:hAnsi="Times New Roman"/>
          <w:lang w:val="nl-NL"/>
        </w:rPr>
        <w:t>đã phát sinh một số vướng mắc, bất cập</w:t>
      </w:r>
      <w:r w:rsidR="00304138" w:rsidRPr="00C32334">
        <w:rPr>
          <w:rFonts w:ascii="Times New Roman" w:hAnsi="Times New Roman"/>
          <w:lang w:val="nl-NL"/>
        </w:rPr>
        <w:t>, cần phải được sửa đổi, bổ sung</w:t>
      </w:r>
      <w:r w:rsidR="0089002E" w:rsidRPr="00C32334">
        <w:rPr>
          <w:rFonts w:ascii="Times New Roman" w:hAnsi="Times New Roman"/>
          <w:lang w:val="nl-NL"/>
        </w:rPr>
        <w:t xml:space="preserve"> để bảo đảm có hiệu lực cùng thời điểm với quy định về cấp chuyên môn kỹ thuật của Luật Khám bệnh, chữa bệnh từ 01 tháng 01 năm 2025, hướng dẫn một số nội dung trong Luật sửa đổi, bổ sung một số điều của Luật bảo hiểm y tế có hiệu lực từ ngày 01 tháng 01 năm 2025</w:t>
      </w:r>
      <w:r w:rsidRPr="00C32334">
        <w:rPr>
          <w:rFonts w:ascii="Times New Roman" w:hAnsi="Times New Roman"/>
          <w:lang w:val="nl-NL"/>
        </w:rPr>
        <w:t>, đó là:</w:t>
      </w:r>
    </w:p>
    <w:p w14:paraId="34C3FD57" w14:textId="77777777" w:rsidR="0061564E" w:rsidRPr="00C32334" w:rsidRDefault="0078247E" w:rsidP="00EE2A8D">
      <w:pPr>
        <w:tabs>
          <w:tab w:val="num" w:pos="360"/>
        </w:tabs>
        <w:spacing w:before="120" w:after="120"/>
        <w:ind w:firstLine="720"/>
        <w:jc w:val="both"/>
        <w:rPr>
          <w:rFonts w:ascii="Times New Roman" w:hAnsi="Times New Roman"/>
          <w:spacing w:val="-4"/>
          <w:lang w:val="nl-NL"/>
        </w:rPr>
      </w:pPr>
      <w:r w:rsidRPr="0061564E">
        <w:rPr>
          <w:rFonts w:ascii="Times New Roman" w:hAnsi="Times New Roman"/>
          <w:spacing w:val="-4"/>
          <w:lang w:val="vi-VN"/>
        </w:rPr>
        <w:t>1. Sửa đổi, bổ sung một số điều, khoản, điểm của Nghị định số 146/2018/NĐ-CP ngày 18 tháng 10 năm 2018 của Chính phủ quy định chi tiết và hướng dẫn biện pháp thi hành luật bảo hiểm y tế, được sửa đổi, bổ sung bởi Nghị định số 75/2023/NĐ-CP ngày 19/10/2023 của Chính phủ, cụ thể như sau:</w:t>
      </w:r>
    </w:p>
    <w:p w14:paraId="1FDE7614" w14:textId="634E1ED2" w:rsidR="00E17CBC" w:rsidRPr="00C32334" w:rsidRDefault="00FF637C" w:rsidP="00E17CBC">
      <w:pPr>
        <w:pStyle w:val="NormalWeb"/>
        <w:spacing w:before="120" w:beforeAutospacing="0" w:after="120" w:afterAutospacing="0"/>
        <w:ind w:firstLine="567"/>
        <w:jc w:val="both"/>
        <w:rPr>
          <w:color w:val="000000"/>
          <w:sz w:val="28"/>
          <w:szCs w:val="28"/>
          <w:lang w:val="nl-NL" w:eastAsia="vi-VN"/>
        </w:rPr>
      </w:pPr>
      <w:r>
        <w:rPr>
          <w:color w:val="000000"/>
          <w:sz w:val="28"/>
          <w:szCs w:val="28"/>
          <w:lang w:val="nl-NL" w:eastAsia="vi-VN"/>
        </w:rPr>
        <w:t>1.</w:t>
      </w:r>
      <w:r w:rsidRPr="00C32334">
        <w:rPr>
          <w:color w:val="000000"/>
          <w:sz w:val="28"/>
          <w:szCs w:val="28"/>
          <w:lang w:val="nl-NL" w:eastAsia="vi-VN"/>
        </w:rPr>
        <w:t xml:space="preserve"> </w:t>
      </w:r>
      <w:r w:rsidR="00E17CBC" w:rsidRPr="00C32334">
        <w:rPr>
          <w:color w:val="000000"/>
          <w:sz w:val="28"/>
          <w:szCs w:val="28"/>
          <w:lang w:val="nl-NL" w:eastAsia="vi-VN"/>
        </w:rPr>
        <w:t xml:space="preserve">Thanh toán chi phí trực tiếp cho người bệnh </w:t>
      </w:r>
      <w:r w:rsidR="00E17CBC" w:rsidRPr="008C46B2">
        <w:rPr>
          <w:color w:val="000000"/>
          <w:sz w:val="28"/>
          <w:szCs w:val="28"/>
          <w:lang w:val="vi-VN" w:eastAsia="vi-VN"/>
        </w:rPr>
        <w:t>đi khám bệnh, chữa bệnh tại nơi đăng ký khám bệnh, chữa bệnh ban đầu không đúng quy định tại khoản 1 Điều 28 của Luật bảo hiểm y tế được quỹ bảo hiểm y tế</w:t>
      </w:r>
      <w:r w:rsidR="00E17CBC" w:rsidRPr="00C32334">
        <w:rPr>
          <w:color w:val="000000"/>
          <w:sz w:val="28"/>
          <w:szCs w:val="28"/>
          <w:lang w:val="nl-NL" w:eastAsia="vi-VN"/>
        </w:rPr>
        <w:t xml:space="preserve"> tương xứng với quyền lợi của người bệnh tại Luật sửa đổi, bổ sung một số điều của Luật bảo hiểm y tế năm 2024.</w:t>
      </w:r>
    </w:p>
    <w:p w14:paraId="6E6EA0CC" w14:textId="470151E7" w:rsidR="00A837CA" w:rsidRPr="00AC7746" w:rsidRDefault="00A837CA" w:rsidP="00A837CA">
      <w:pPr>
        <w:ind w:firstLine="709"/>
        <w:jc w:val="both"/>
        <w:rPr>
          <w:rFonts w:ascii="Times New Roman" w:hAnsi="Times New Roman"/>
          <w:color w:val="000000"/>
          <w:lang w:val="nl-NL" w:eastAsia="vi-VN"/>
        </w:rPr>
      </w:pPr>
      <w:r w:rsidRPr="00A837CA">
        <w:rPr>
          <w:rFonts w:ascii="Times New Roman" w:hAnsi="Times New Roman"/>
          <w:color w:val="000000"/>
          <w:lang w:val="vi-VN" w:eastAsia="vi-VN"/>
        </w:rPr>
        <w:t>2. Hướng dẫn một số nội dung của Luật sửa đổi bổ sung một số điều của Luật bảo hiểm y tế năm 2024 có hiệu lực từ 01/01/2025</w:t>
      </w:r>
      <w:r w:rsidR="00FF637C" w:rsidRPr="00AC7746">
        <w:rPr>
          <w:rFonts w:ascii="Times New Roman" w:hAnsi="Times New Roman"/>
          <w:color w:val="000000"/>
          <w:lang w:val="nl-NL" w:eastAsia="vi-VN"/>
        </w:rPr>
        <w:t xml:space="preserve"> </w:t>
      </w:r>
      <w:r w:rsidR="00FF637C">
        <w:rPr>
          <w:rFonts w:ascii="Times New Roman" w:hAnsi="Times New Roman"/>
          <w:color w:val="000000"/>
          <w:lang w:val="nl-NL" w:eastAsia="vi-VN"/>
        </w:rPr>
        <w:t>về mức hưởng bảo hiểm y tế</w:t>
      </w:r>
    </w:p>
    <w:p w14:paraId="34854EA0" w14:textId="411AFD0B" w:rsidR="00316D49" w:rsidRDefault="00A837CA" w:rsidP="003677DE">
      <w:pPr>
        <w:ind w:firstLine="709"/>
        <w:jc w:val="both"/>
        <w:rPr>
          <w:rFonts w:ascii="Times New Roman" w:hAnsi="Times New Roman"/>
          <w:color w:val="000000"/>
          <w:lang w:eastAsia="vi-VN"/>
        </w:rPr>
      </w:pPr>
      <w:r w:rsidRPr="00A837CA">
        <w:rPr>
          <w:rFonts w:ascii="Times New Roman" w:hAnsi="Times New Roman"/>
          <w:color w:val="000000"/>
          <w:lang w:val="vi-VN" w:eastAsia="vi-VN"/>
        </w:rPr>
        <w:t>3. Sửa đổi, bổ sung để đồng bộ với Luật khám bệnh chữa bệnh về cấp chuyên môn kỹ thuật từ 01/01/2025.</w:t>
      </w:r>
    </w:p>
    <w:p w14:paraId="2830DB73" w14:textId="36983EC2" w:rsidR="00316D49" w:rsidRPr="009C7F1C" w:rsidRDefault="00316D49" w:rsidP="00316D49">
      <w:pPr>
        <w:ind w:firstLine="709"/>
        <w:jc w:val="both"/>
        <w:rPr>
          <w:rFonts w:ascii="Times New Roman" w:hAnsi="Times New Roman"/>
          <w:spacing w:val="-2"/>
          <w:lang w:val="nl-NL"/>
        </w:rPr>
      </w:pPr>
      <w:r w:rsidRPr="003677DE">
        <w:rPr>
          <w:rFonts w:ascii="Times New Roman" w:hAnsi="Times New Roman"/>
          <w:color w:val="000000"/>
          <w:lang w:eastAsia="vi-VN"/>
        </w:rPr>
        <w:t>Trên đây là báo cáo đ</w:t>
      </w:r>
      <w:r w:rsidRPr="009C7F1C">
        <w:rPr>
          <w:rFonts w:ascii="Times New Roman" w:hAnsi="Times New Roman"/>
          <w:spacing w:val="-2"/>
          <w:lang w:val="nl-NL"/>
        </w:rPr>
        <w:t xml:space="preserve">ánh giá kết quả thực hiện Nghị định số 146/2018/NĐ-CP ngày 17 tháng 10 năm 2018 </w:t>
      </w:r>
      <w:r w:rsidRPr="009C7F1C">
        <w:rPr>
          <w:rFonts w:ascii="Times New Roman" w:hAnsi="Times New Roman"/>
          <w:lang w:val="nl-NL"/>
        </w:rPr>
        <w:t>và Nghị định số 75/2023/NĐ-CP ngày 19 tháng 10 năm 2023 sửa đổi, bổ sung một số điều của Nghị định số 146/2018/NĐ-CP</w:t>
      </w:r>
      <w:r w:rsidRPr="009C7F1C">
        <w:rPr>
          <w:rFonts w:ascii="Times New Roman" w:hAnsi="Times New Roman"/>
          <w:spacing w:val="-2"/>
          <w:lang w:val="nl-NL"/>
        </w:rPr>
        <w:t xml:space="preserve"> của Chính phủ quy định chi tiết và hướng dẫn biện pháp thi hành một số điều của Luật Bảo hiểm y tế</w:t>
      </w:r>
      <w:r>
        <w:rPr>
          <w:rFonts w:ascii="Times New Roman" w:hAnsi="Times New Roman"/>
          <w:spacing w:val="-2"/>
          <w:lang w:val="nl-NL"/>
        </w:rPr>
        <w:t>. Bộ Y tế kính báo cáo Chính phủ./.</w:t>
      </w:r>
      <w:r w:rsidRPr="009C7F1C">
        <w:rPr>
          <w:rFonts w:ascii="Times New Roman" w:hAnsi="Times New Roman"/>
          <w:spacing w:val="-2"/>
          <w:lang w:val="nl-NL"/>
        </w:rPr>
        <w:t xml:space="preserve">  </w:t>
      </w:r>
    </w:p>
    <w:p w14:paraId="755F963A" w14:textId="77777777" w:rsidR="00316D49" w:rsidRPr="009C7F1C" w:rsidRDefault="00316D49" w:rsidP="00316D49">
      <w:pPr>
        <w:ind w:firstLine="709"/>
        <w:jc w:val="both"/>
        <w:rPr>
          <w:rFonts w:ascii="Times New Roman" w:hAnsi="Times New Roman"/>
          <w:color w:val="000000"/>
          <w:lang w:val="nl-NL" w:eastAsia="vi-VN"/>
        </w:rPr>
      </w:pPr>
    </w:p>
    <w:p w14:paraId="6F132BE6" w14:textId="77777777" w:rsidR="00316D49" w:rsidRPr="009C7F1C" w:rsidRDefault="00316D49" w:rsidP="00316D49">
      <w:pPr>
        <w:ind w:firstLine="709"/>
        <w:jc w:val="both"/>
        <w:rPr>
          <w:rFonts w:ascii="Times New Roman" w:hAnsi="Times New Roman"/>
          <w:color w:val="000000"/>
          <w:lang w:val="nl-NL" w:eastAsia="vi-VN"/>
        </w:rPr>
      </w:pPr>
    </w:p>
    <w:tbl>
      <w:tblPr>
        <w:tblW w:w="9600" w:type="dxa"/>
        <w:tblInd w:w="108" w:type="dxa"/>
        <w:tblLook w:val="0000" w:firstRow="0" w:lastRow="0" w:firstColumn="0" w:lastColumn="0" w:noHBand="0" w:noVBand="0"/>
      </w:tblPr>
      <w:tblGrid>
        <w:gridCol w:w="4536"/>
        <w:gridCol w:w="5064"/>
      </w:tblGrid>
      <w:tr w:rsidR="00316D49" w:rsidRPr="009D065C" w14:paraId="4D5071CF" w14:textId="77777777" w:rsidTr="009C7F1C">
        <w:tc>
          <w:tcPr>
            <w:tcW w:w="4536" w:type="dxa"/>
            <w:tcBorders>
              <w:top w:val="nil"/>
              <w:left w:val="nil"/>
              <w:bottom w:val="nil"/>
              <w:right w:val="nil"/>
            </w:tcBorders>
          </w:tcPr>
          <w:p w14:paraId="4D880812" w14:textId="77777777" w:rsidR="00316D49" w:rsidRPr="00591751" w:rsidRDefault="00316D49" w:rsidP="009C7F1C">
            <w:pPr>
              <w:keepNext/>
              <w:widowControl w:val="0"/>
              <w:jc w:val="both"/>
              <w:rPr>
                <w:lang w:val="nb-NO"/>
              </w:rPr>
            </w:pPr>
            <w:r w:rsidRPr="00591751">
              <w:rPr>
                <w:b/>
                <w:bCs/>
                <w:i/>
                <w:iCs/>
                <w:lang w:val="nb-NO"/>
              </w:rPr>
              <w:t>Nơi nhận:</w:t>
            </w:r>
          </w:p>
          <w:p w14:paraId="76AA7B91" w14:textId="77777777" w:rsidR="00316D49" w:rsidRPr="00591751" w:rsidRDefault="00316D49" w:rsidP="009C7F1C">
            <w:pPr>
              <w:keepNext/>
              <w:widowControl w:val="0"/>
              <w:jc w:val="both"/>
              <w:rPr>
                <w:lang w:val="nb-NO"/>
              </w:rPr>
            </w:pPr>
            <w:r w:rsidRPr="00591751">
              <w:rPr>
                <w:lang w:val="nb-NO"/>
              </w:rPr>
              <w:t>- Như trên;</w:t>
            </w:r>
          </w:p>
          <w:p w14:paraId="05537280" w14:textId="77777777" w:rsidR="00316D49" w:rsidRDefault="00316D49" w:rsidP="009C7F1C">
            <w:pPr>
              <w:keepNext/>
              <w:widowControl w:val="0"/>
              <w:jc w:val="both"/>
              <w:rPr>
                <w:lang w:val="nb-NO"/>
              </w:rPr>
            </w:pPr>
            <w:r w:rsidRPr="00591751">
              <w:rPr>
                <w:lang w:val="nb-NO"/>
              </w:rPr>
              <w:t xml:space="preserve">- </w:t>
            </w:r>
            <w:r>
              <w:rPr>
                <w:lang w:val="nb-NO"/>
              </w:rPr>
              <w:t>Thủ tướng Chính phủ</w:t>
            </w:r>
            <w:r w:rsidRPr="00591751">
              <w:rPr>
                <w:lang w:val="nb-NO"/>
              </w:rPr>
              <w:t xml:space="preserve"> (để báo cáo);</w:t>
            </w:r>
          </w:p>
          <w:p w14:paraId="6D5C3FAF" w14:textId="77777777" w:rsidR="00316D49" w:rsidRPr="00591751" w:rsidRDefault="00316D49" w:rsidP="009C7F1C">
            <w:pPr>
              <w:keepNext/>
              <w:widowControl w:val="0"/>
              <w:jc w:val="both"/>
              <w:rPr>
                <w:lang w:val="nb-NO"/>
              </w:rPr>
            </w:pPr>
            <w:r>
              <w:rPr>
                <w:lang w:val="nb-NO"/>
              </w:rPr>
              <w:t>- Các Đ/c Phó Thủ tướng (để báo cáo);</w:t>
            </w:r>
          </w:p>
          <w:p w14:paraId="07041CB5" w14:textId="77777777" w:rsidR="00316D49" w:rsidRPr="00591751" w:rsidRDefault="00316D49" w:rsidP="009C7F1C">
            <w:pPr>
              <w:keepNext/>
              <w:widowControl w:val="0"/>
              <w:jc w:val="both"/>
              <w:rPr>
                <w:lang w:val="vi-VN"/>
              </w:rPr>
            </w:pPr>
            <w:r w:rsidRPr="00591751">
              <w:rPr>
                <w:lang w:val="nb-NO"/>
              </w:rPr>
              <w:t>- Các đ/c Thứ trưởng;</w:t>
            </w:r>
          </w:p>
          <w:p w14:paraId="43CDF03E" w14:textId="77777777" w:rsidR="00316D49" w:rsidRDefault="00316D49" w:rsidP="009C7F1C">
            <w:pPr>
              <w:keepNext/>
              <w:widowControl w:val="0"/>
              <w:jc w:val="both"/>
              <w:rPr>
                <w:lang w:val="nb-NO"/>
              </w:rPr>
            </w:pPr>
            <w:r w:rsidRPr="00591751">
              <w:rPr>
                <w:lang w:val="nb-NO"/>
              </w:rPr>
              <w:t>- Văn phòng Chính phủ;</w:t>
            </w:r>
          </w:p>
          <w:p w14:paraId="4E8665F8" w14:textId="77777777" w:rsidR="00316D49" w:rsidRDefault="00316D49" w:rsidP="009C7F1C">
            <w:pPr>
              <w:keepNext/>
              <w:widowControl w:val="0"/>
              <w:jc w:val="both"/>
              <w:rPr>
                <w:lang w:val="nb-NO"/>
              </w:rPr>
            </w:pPr>
            <w:r>
              <w:rPr>
                <w:lang w:val="nb-NO"/>
              </w:rPr>
              <w:t>- Bộ Tư pháp, Bộ Tài chính;</w:t>
            </w:r>
          </w:p>
          <w:p w14:paraId="1502C712" w14:textId="77777777" w:rsidR="00316D49" w:rsidRPr="00591751" w:rsidRDefault="00316D49" w:rsidP="009C7F1C">
            <w:pPr>
              <w:keepNext/>
              <w:widowControl w:val="0"/>
              <w:jc w:val="both"/>
              <w:rPr>
                <w:lang w:val="nb-NO"/>
              </w:rPr>
            </w:pPr>
            <w:r w:rsidRPr="00591751">
              <w:rPr>
                <w:lang w:val="nb-NO"/>
              </w:rPr>
              <w:t xml:space="preserve">- </w:t>
            </w:r>
            <w:r>
              <w:rPr>
                <w:lang w:val="nb-NO"/>
              </w:rPr>
              <w:t>Bảo hiểm xã hội Việt Nam</w:t>
            </w:r>
            <w:r w:rsidRPr="00591751">
              <w:rPr>
                <w:lang w:val="nb-NO"/>
              </w:rPr>
              <w:t>;</w:t>
            </w:r>
          </w:p>
          <w:p w14:paraId="269BA733" w14:textId="77777777" w:rsidR="00316D49" w:rsidRPr="00591751" w:rsidRDefault="00316D49" w:rsidP="009C7F1C">
            <w:pPr>
              <w:keepNext/>
              <w:widowControl w:val="0"/>
              <w:jc w:val="both"/>
              <w:rPr>
                <w:lang w:val="nb-NO"/>
              </w:rPr>
            </w:pPr>
            <w:r w:rsidRPr="00591751">
              <w:rPr>
                <w:lang w:val="nb-NO"/>
              </w:rPr>
              <w:t>- Lưu: VT, PC</w:t>
            </w:r>
            <w:r>
              <w:rPr>
                <w:lang w:val="nb-NO"/>
              </w:rPr>
              <w:t xml:space="preserve">, </w:t>
            </w:r>
            <w:r w:rsidRPr="00591751">
              <w:rPr>
                <w:lang w:val="nb-NO"/>
              </w:rPr>
              <w:t>BH.</w:t>
            </w:r>
          </w:p>
        </w:tc>
        <w:tc>
          <w:tcPr>
            <w:tcW w:w="5064" w:type="dxa"/>
            <w:tcBorders>
              <w:top w:val="nil"/>
              <w:left w:val="nil"/>
              <w:bottom w:val="nil"/>
              <w:right w:val="nil"/>
            </w:tcBorders>
          </w:tcPr>
          <w:p w14:paraId="3C6A2911" w14:textId="77777777" w:rsidR="00316D49" w:rsidRPr="00591751" w:rsidRDefault="00316D49" w:rsidP="009C7F1C">
            <w:pPr>
              <w:spacing w:beforeLines="20" w:before="48" w:afterLines="20" w:after="48"/>
              <w:jc w:val="center"/>
              <w:rPr>
                <w:b/>
                <w:bCs/>
                <w:lang w:val="nb-NO"/>
              </w:rPr>
            </w:pPr>
            <w:r w:rsidRPr="00591751">
              <w:rPr>
                <w:b/>
                <w:bCs/>
                <w:lang w:val="nb-NO"/>
              </w:rPr>
              <w:t>BỘ TRƯỞNG</w:t>
            </w:r>
          </w:p>
          <w:p w14:paraId="4FB64D56" w14:textId="77777777" w:rsidR="00316D49" w:rsidRPr="00591751" w:rsidRDefault="00316D49" w:rsidP="009C7F1C">
            <w:pPr>
              <w:spacing w:beforeLines="20" w:before="48" w:afterLines="20" w:after="48"/>
              <w:jc w:val="center"/>
              <w:rPr>
                <w:b/>
                <w:bCs/>
                <w:lang w:val="nb-NO"/>
              </w:rPr>
            </w:pPr>
          </w:p>
          <w:p w14:paraId="1FC1C61E" w14:textId="77777777" w:rsidR="00316D49" w:rsidRPr="00591751" w:rsidRDefault="00316D49" w:rsidP="009C7F1C">
            <w:pPr>
              <w:spacing w:beforeLines="20" w:before="48" w:afterLines="20" w:after="48"/>
              <w:jc w:val="center"/>
              <w:rPr>
                <w:b/>
                <w:bCs/>
                <w:lang w:val="nb-NO"/>
              </w:rPr>
            </w:pPr>
          </w:p>
          <w:p w14:paraId="67DA399F" w14:textId="77777777" w:rsidR="00316D49" w:rsidRPr="00591751" w:rsidRDefault="00316D49" w:rsidP="009C7F1C">
            <w:pPr>
              <w:spacing w:beforeLines="20" w:before="48" w:afterLines="20" w:after="48"/>
              <w:jc w:val="center"/>
              <w:rPr>
                <w:b/>
                <w:bCs/>
                <w:lang w:val="nb-NO"/>
              </w:rPr>
            </w:pPr>
          </w:p>
          <w:p w14:paraId="39E188F7" w14:textId="77777777" w:rsidR="00316D49" w:rsidRPr="00591751" w:rsidRDefault="00316D49" w:rsidP="009C7F1C">
            <w:pPr>
              <w:spacing w:beforeLines="20" w:before="48" w:afterLines="20" w:after="48"/>
              <w:jc w:val="center"/>
              <w:rPr>
                <w:b/>
                <w:bCs/>
                <w:lang w:val="nb-NO"/>
              </w:rPr>
            </w:pPr>
          </w:p>
          <w:p w14:paraId="1C503D68" w14:textId="77777777" w:rsidR="00316D49" w:rsidRPr="00591751" w:rsidRDefault="00316D49" w:rsidP="009C7F1C">
            <w:pPr>
              <w:spacing w:beforeLines="100" w:before="240" w:afterLines="20" w:after="48"/>
              <w:jc w:val="center"/>
              <w:rPr>
                <w:b/>
                <w:bCs/>
                <w:lang w:val="nb-NO"/>
              </w:rPr>
            </w:pPr>
            <w:r w:rsidRPr="00591751">
              <w:rPr>
                <w:b/>
                <w:bCs/>
                <w:lang w:val="nb-NO"/>
              </w:rPr>
              <w:t>Đào Hồng Lan</w:t>
            </w:r>
          </w:p>
        </w:tc>
      </w:tr>
    </w:tbl>
    <w:p w14:paraId="222AE06D" w14:textId="77777777" w:rsidR="00316D49" w:rsidRPr="009C7F1C" w:rsidRDefault="00316D49" w:rsidP="00316D49">
      <w:pPr>
        <w:ind w:firstLine="709"/>
        <w:jc w:val="both"/>
        <w:rPr>
          <w:rFonts w:ascii="Times New Roman" w:hAnsi="Times New Roman"/>
          <w:color w:val="000000"/>
          <w:lang w:eastAsia="vi-VN"/>
        </w:rPr>
      </w:pPr>
    </w:p>
    <w:p w14:paraId="47EE49D6" w14:textId="77777777" w:rsidR="00316D49" w:rsidRPr="00AC7746" w:rsidRDefault="00316D49" w:rsidP="003677DE">
      <w:pPr>
        <w:ind w:firstLine="709"/>
        <w:jc w:val="both"/>
        <w:rPr>
          <w:rFonts w:ascii="Times New Roman" w:hAnsi="Times New Roman"/>
          <w:color w:val="000000"/>
          <w:lang w:eastAsia="vi-VN"/>
        </w:rPr>
      </w:pPr>
    </w:p>
    <w:p w14:paraId="436A6CE2" w14:textId="77777777" w:rsidR="00316D49" w:rsidRDefault="00316D49">
      <w:pPr>
        <w:rPr>
          <w:rFonts w:ascii="Times New Roman" w:hAnsi="Times New Roman"/>
          <w:color w:val="000000"/>
          <w:lang w:val="vi-VN" w:eastAsia="vi-VN"/>
        </w:rPr>
      </w:pPr>
      <w:r>
        <w:rPr>
          <w:rFonts w:ascii="Times New Roman" w:hAnsi="Times New Roman"/>
          <w:color w:val="000000"/>
          <w:lang w:val="vi-VN" w:eastAsia="vi-VN"/>
        </w:rPr>
        <w:lastRenderedPageBreak/>
        <w:br w:type="page"/>
      </w:r>
    </w:p>
    <w:p w14:paraId="080912B1" w14:textId="2F9F8675" w:rsidR="00021C29" w:rsidRPr="00C32334" w:rsidRDefault="00946630" w:rsidP="00AC7746">
      <w:pPr>
        <w:ind w:firstLine="709"/>
        <w:jc w:val="center"/>
        <w:rPr>
          <w:rFonts w:ascii="Times New Roman" w:hAnsi="Times New Roman"/>
          <w:b/>
          <w:spacing w:val="-2"/>
          <w:lang w:val="vi-VN"/>
        </w:rPr>
      </w:pPr>
      <w:r w:rsidRPr="00C32334">
        <w:rPr>
          <w:rFonts w:ascii="Times New Roman" w:hAnsi="Times New Roman"/>
          <w:b/>
          <w:spacing w:val="-2"/>
          <w:lang w:val="vi-VN"/>
        </w:rPr>
        <w:lastRenderedPageBreak/>
        <w:t>Phụ lục:</w:t>
      </w:r>
    </w:p>
    <w:p w14:paraId="5CE2177E" w14:textId="5F1EB6F6" w:rsidR="00946630" w:rsidRPr="00CA3BDE" w:rsidRDefault="00946630" w:rsidP="00CA3BDE">
      <w:pPr>
        <w:spacing w:before="60" w:line="247" w:lineRule="auto"/>
        <w:rPr>
          <w:rFonts w:ascii="Times New Roman" w:hAnsi="Times New Roman"/>
          <w:i/>
          <w:spacing w:val="-2"/>
          <w:lang w:val="vi-VN"/>
        </w:rPr>
      </w:pPr>
      <w:r w:rsidRPr="00C32334">
        <w:rPr>
          <w:rFonts w:ascii="Times New Roman" w:hAnsi="Times New Roman"/>
          <w:b/>
          <w:spacing w:val="-2"/>
          <w:lang w:val="vi-VN"/>
        </w:rPr>
        <w:t xml:space="preserve">DANH MỤC </w:t>
      </w:r>
      <w:r w:rsidRPr="00CA3BDE">
        <w:rPr>
          <w:rFonts w:ascii="Times New Roman" w:hAnsi="Times New Roman"/>
          <w:b/>
          <w:spacing w:val="-2"/>
          <w:lang w:val="vi-VN"/>
        </w:rPr>
        <w:t>CÁC VĂN BẢN QUY PHẠM PHÁP LUẬT</w:t>
      </w:r>
      <w:r w:rsidR="007C7A63" w:rsidRPr="00CA3BDE">
        <w:rPr>
          <w:rFonts w:ascii="Times New Roman" w:hAnsi="Times New Roman"/>
          <w:b/>
          <w:spacing w:val="-2"/>
          <w:lang w:val="vi-VN"/>
        </w:rPr>
        <w:t xml:space="preserve"> ĐÃ BAN HÀNH</w:t>
      </w:r>
    </w:p>
    <w:p w14:paraId="68AC309C" w14:textId="77777777" w:rsidR="00946630" w:rsidRPr="00C32334" w:rsidRDefault="00946630" w:rsidP="00CA3BDE">
      <w:pPr>
        <w:spacing w:before="60" w:line="247" w:lineRule="auto"/>
        <w:jc w:val="both"/>
        <w:rPr>
          <w:rFonts w:ascii="Times New Roman" w:hAnsi="Times New Roman"/>
          <w:b/>
          <w:spacing w:val="-2"/>
          <w:lang w:val="vi-VN"/>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2806"/>
        <w:gridCol w:w="4253"/>
        <w:gridCol w:w="2125"/>
      </w:tblGrid>
      <w:tr w:rsidR="004063FA" w:rsidRPr="004063FA" w14:paraId="35C6964A" w14:textId="77777777" w:rsidTr="00107E45">
        <w:tc>
          <w:tcPr>
            <w:tcW w:w="846" w:type="dxa"/>
          </w:tcPr>
          <w:p w14:paraId="100ED77F" w14:textId="77777777" w:rsidR="004063FA" w:rsidRPr="004063FA" w:rsidRDefault="004063FA" w:rsidP="009F09EE">
            <w:pPr>
              <w:spacing w:before="120"/>
              <w:rPr>
                <w:rFonts w:ascii="Times New Roman" w:hAnsi="Times New Roman"/>
                <w:sz w:val="26"/>
                <w:szCs w:val="26"/>
              </w:rPr>
            </w:pPr>
            <w:r w:rsidRPr="004063FA">
              <w:rPr>
                <w:rFonts w:ascii="Times New Roman" w:hAnsi="Times New Roman"/>
                <w:sz w:val="26"/>
                <w:szCs w:val="26"/>
              </w:rPr>
              <w:t>TT</w:t>
            </w:r>
          </w:p>
        </w:tc>
        <w:tc>
          <w:tcPr>
            <w:tcW w:w="2806" w:type="dxa"/>
          </w:tcPr>
          <w:p w14:paraId="246DD737" w14:textId="77777777" w:rsidR="004063FA" w:rsidRPr="004063FA" w:rsidRDefault="004063FA" w:rsidP="009F09EE">
            <w:pPr>
              <w:spacing w:before="120"/>
              <w:rPr>
                <w:rFonts w:ascii="Times New Roman" w:hAnsi="Times New Roman"/>
                <w:sz w:val="26"/>
                <w:szCs w:val="26"/>
              </w:rPr>
            </w:pPr>
            <w:r w:rsidRPr="004063FA">
              <w:rPr>
                <w:rFonts w:ascii="Times New Roman" w:hAnsi="Times New Roman"/>
                <w:sz w:val="26"/>
                <w:szCs w:val="26"/>
              </w:rPr>
              <w:t>Cơ quan ban hành</w:t>
            </w:r>
          </w:p>
        </w:tc>
        <w:tc>
          <w:tcPr>
            <w:tcW w:w="4253" w:type="dxa"/>
          </w:tcPr>
          <w:p w14:paraId="24E615AD" w14:textId="77777777" w:rsidR="004063FA" w:rsidRPr="004063FA" w:rsidRDefault="004063FA" w:rsidP="009F09EE">
            <w:pPr>
              <w:spacing w:before="120"/>
              <w:jc w:val="center"/>
              <w:rPr>
                <w:rFonts w:ascii="Times New Roman" w:hAnsi="Times New Roman"/>
                <w:sz w:val="26"/>
                <w:szCs w:val="26"/>
              </w:rPr>
            </w:pPr>
            <w:r w:rsidRPr="004063FA">
              <w:rPr>
                <w:rFonts w:ascii="Times New Roman" w:hAnsi="Times New Roman"/>
                <w:sz w:val="26"/>
                <w:szCs w:val="26"/>
              </w:rPr>
              <w:t>Tên đầy đủ của văn bản</w:t>
            </w:r>
          </w:p>
        </w:tc>
        <w:tc>
          <w:tcPr>
            <w:tcW w:w="2125" w:type="dxa"/>
          </w:tcPr>
          <w:p w14:paraId="29DA4645" w14:textId="77777777" w:rsidR="004063FA" w:rsidRPr="004063FA" w:rsidRDefault="004063FA" w:rsidP="009F09EE">
            <w:pPr>
              <w:spacing w:before="120"/>
              <w:rPr>
                <w:rFonts w:ascii="Times New Roman" w:hAnsi="Times New Roman"/>
                <w:sz w:val="26"/>
                <w:szCs w:val="26"/>
              </w:rPr>
            </w:pPr>
            <w:r w:rsidRPr="004063FA">
              <w:rPr>
                <w:rFonts w:ascii="Times New Roman" w:hAnsi="Times New Roman"/>
                <w:sz w:val="26"/>
                <w:szCs w:val="26"/>
              </w:rPr>
              <w:t>Ngày có hiệu lực</w:t>
            </w:r>
          </w:p>
        </w:tc>
      </w:tr>
      <w:tr w:rsidR="004063FA" w:rsidRPr="004063FA" w14:paraId="2602A2BE" w14:textId="77777777" w:rsidTr="00107E45">
        <w:tc>
          <w:tcPr>
            <w:tcW w:w="846" w:type="dxa"/>
            <w:shd w:val="clear" w:color="auto" w:fill="auto"/>
          </w:tcPr>
          <w:p w14:paraId="44ECAC82" w14:textId="77777777" w:rsidR="004063FA" w:rsidRPr="00107E45" w:rsidRDefault="004063FA" w:rsidP="00107E45">
            <w:pPr>
              <w:pStyle w:val="ListParagraph"/>
              <w:numPr>
                <w:ilvl w:val="0"/>
                <w:numId w:val="6"/>
              </w:numPr>
              <w:spacing w:before="120"/>
              <w:rPr>
                <w:sz w:val="26"/>
                <w:szCs w:val="26"/>
              </w:rPr>
            </w:pPr>
            <w:r w:rsidRPr="00107E45">
              <w:rPr>
                <w:sz w:val="26"/>
                <w:szCs w:val="26"/>
              </w:rPr>
              <w:t>22.</w:t>
            </w:r>
          </w:p>
        </w:tc>
        <w:tc>
          <w:tcPr>
            <w:tcW w:w="2806" w:type="dxa"/>
            <w:shd w:val="clear" w:color="auto" w:fill="auto"/>
          </w:tcPr>
          <w:p w14:paraId="46A2D4A9" w14:textId="77777777" w:rsidR="004063FA" w:rsidRPr="004063FA" w:rsidRDefault="004063FA" w:rsidP="009F09EE">
            <w:pPr>
              <w:spacing w:before="120"/>
              <w:jc w:val="both"/>
              <w:rPr>
                <w:rFonts w:ascii="Times New Roman" w:hAnsi="Times New Roman"/>
                <w:sz w:val="26"/>
                <w:szCs w:val="26"/>
              </w:rPr>
            </w:pPr>
            <w:r w:rsidRPr="004063FA">
              <w:rPr>
                <w:rFonts w:ascii="Times New Roman" w:hAnsi="Times New Roman"/>
                <w:sz w:val="26"/>
                <w:szCs w:val="26"/>
              </w:rPr>
              <w:t>Thông tư số 30/2018/TT-BYT</w:t>
            </w:r>
          </w:p>
        </w:tc>
        <w:tc>
          <w:tcPr>
            <w:tcW w:w="4253" w:type="dxa"/>
            <w:shd w:val="clear" w:color="auto" w:fill="auto"/>
          </w:tcPr>
          <w:p w14:paraId="6FC544A3" w14:textId="77777777" w:rsidR="004063FA" w:rsidRPr="004063FA" w:rsidRDefault="004063FA" w:rsidP="009F09EE">
            <w:pPr>
              <w:spacing w:before="120"/>
              <w:jc w:val="both"/>
              <w:rPr>
                <w:rFonts w:ascii="Times New Roman" w:hAnsi="Times New Roman"/>
                <w:sz w:val="26"/>
                <w:szCs w:val="26"/>
              </w:rPr>
            </w:pPr>
            <w:r w:rsidRPr="004063FA">
              <w:rPr>
                <w:rFonts w:ascii="Times New Roman" w:hAnsi="Times New Roman"/>
                <w:sz w:val="26"/>
                <w:szCs w:val="26"/>
              </w:rPr>
              <w:t>Thông tư số 30/2018/TT-BYT ngày 30/10/2018 của Bộ trưởng Bộ Y tế quy định điều kiện thanh toán các thuốc hóa dược, sinh phẩm cho người tham gia BHYT</w:t>
            </w:r>
          </w:p>
        </w:tc>
        <w:tc>
          <w:tcPr>
            <w:tcW w:w="2125" w:type="dxa"/>
            <w:shd w:val="clear" w:color="auto" w:fill="auto"/>
          </w:tcPr>
          <w:p w14:paraId="7DE71AF8" w14:textId="77777777" w:rsidR="004063FA" w:rsidRPr="004063FA" w:rsidRDefault="004063FA" w:rsidP="009F09EE">
            <w:pPr>
              <w:spacing w:before="120"/>
              <w:jc w:val="center"/>
              <w:rPr>
                <w:rFonts w:ascii="Times New Roman" w:hAnsi="Times New Roman"/>
                <w:sz w:val="26"/>
                <w:szCs w:val="26"/>
              </w:rPr>
            </w:pPr>
            <w:r w:rsidRPr="004063FA">
              <w:rPr>
                <w:rFonts w:ascii="Times New Roman" w:hAnsi="Times New Roman"/>
                <w:sz w:val="26"/>
                <w:szCs w:val="26"/>
              </w:rPr>
              <w:t>01/01/2019</w:t>
            </w:r>
          </w:p>
        </w:tc>
      </w:tr>
      <w:tr w:rsidR="004063FA" w:rsidRPr="004063FA" w14:paraId="5931C8B0" w14:textId="77777777" w:rsidTr="00107E45">
        <w:tc>
          <w:tcPr>
            <w:tcW w:w="846" w:type="dxa"/>
            <w:shd w:val="clear" w:color="auto" w:fill="auto"/>
          </w:tcPr>
          <w:p w14:paraId="4E2A163C" w14:textId="77777777" w:rsidR="004063FA" w:rsidRPr="00107E45" w:rsidRDefault="004063FA" w:rsidP="00107E45">
            <w:pPr>
              <w:pStyle w:val="ListParagraph"/>
              <w:numPr>
                <w:ilvl w:val="0"/>
                <w:numId w:val="6"/>
              </w:numPr>
              <w:spacing w:before="120"/>
              <w:rPr>
                <w:sz w:val="26"/>
                <w:szCs w:val="26"/>
              </w:rPr>
            </w:pPr>
            <w:r w:rsidRPr="00107E45">
              <w:rPr>
                <w:sz w:val="26"/>
                <w:szCs w:val="26"/>
              </w:rPr>
              <w:t>23.</w:t>
            </w:r>
          </w:p>
        </w:tc>
        <w:tc>
          <w:tcPr>
            <w:tcW w:w="2806" w:type="dxa"/>
            <w:shd w:val="clear" w:color="auto" w:fill="auto"/>
          </w:tcPr>
          <w:p w14:paraId="3FA3D304" w14:textId="77777777" w:rsidR="004063FA" w:rsidRPr="004063FA" w:rsidRDefault="004063FA" w:rsidP="009F09EE">
            <w:pPr>
              <w:spacing w:before="120"/>
              <w:jc w:val="both"/>
              <w:rPr>
                <w:rFonts w:ascii="Times New Roman" w:hAnsi="Times New Roman"/>
                <w:sz w:val="26"/>
                <w:szCs w:val="26"/>
              </w:rPr>
            </w:pPr>
            <w:r w:rsidRPr="004063FA">
              <w:rPr>
                <w:rFonts w:ascii="Times New Roman" w:hAnsi="Times New Roman"/>
                <w:sz w:val="26"/>
                <w:szCs w:val="26"/>
              </w:rPr>
              <w:t>Thông tư số 15/2018/TT-BYT</w:t>
            </w:r>
          </w:p>
        </w:tc>
        <w:tc>
          <w:tcPr>
            <w:tcW w:w="4253" w:type="dxa"/>
            <w:shd w:val="clear" w:color="auto" w:fill="auto"/>
          </w:tcPr>
          <w:p w14:paraId="0AE3046B" w14:textId="77777777" w:rsidR="004063FA" w:rsidRPr="004063FA" w:rsidRDefault="004063FA" w:rsidP="009F09EE">
            <w:pPr>
              <w:tabs>
                <w:tab w:val="left" w:pos="851"/>
                <w:tab w:val="left" w:pos="900"/>
              </w:tabs>
              <w:spacing w:before="120"/>
              <w:jc w:val="both"/>
              <w:rPr>
                <w:rFonts w:ascii="Times New Roman" w:hAnsi="Times New Roman"/>
                <w:sz w:val="26"/>
                <w:szCs w:val="26"/>
              </w:rPr>
            </w:pPr>
            <w:r w:rsidRPr="004063FA">
              <w:rPr>
                <w:rFonts w:ascii="Times New Roman" w:hAnsi="Times New Roman"/>
                <w:sz w:val="26"/>
                <w:szCs w:val="26"/>
              </w:rPr>
              <w:t>Thông tư số 15/2018/TT-BYT ngày 30/5/2018 Bộ trưởng Bộ Y tế về việc quy định thống nhất giá dịch vụ KCB BHYT giữa các bệnh viện cùng hạng trên toàn quốc và hướng dẫn áp dụng giá, thanh toán chi phí KCB trong một số trường hợp.</w:t>
            </w:r>
          </w:p>
        </w:tc>
        <w:tc>
          <w:tcPr>
            <w:tcW w:w="2125" w:type="dxa"/>
            <w:shd w:val="clear" w:color="auto" w:fill="auto"/>
          </w:tcPr>
          <w:p w14:paraId="422D26AE" w14:textId="77777777" w:rsidR="004063FA" w:rsidRPr="004063FA" w:rsidRDefault="004063FA" w:rsidP="009F09EE">
            <w:pPr>
              <w:spacing w:before="120"/>
              <w:jc w:val="center"/>
              <w:rPr>
                <w:rFonts w:ascii="Times New Roman" w:hAnsi="Times New Roman"/>
                <w:sz w:val="26"/>
                <w:szCs w:val="26"/>
              </w:rPr>
            </w:pPr>
            <w:r w:rsidRPr="004063FA">
              <w:rPr>
                <w:rFonts w:ascii="Times New Roman" w:hAnsi="Times New Roman"/>
                <w:sz w:val="26"/>
                <w:szCs w:val="26"/>
              </w:rPr>
              <w:t>15/7/2018</w:t>
            </w:r>
          </w:p>
        </w:tc>
      </w:tr>
      <w:tr w:rsidR="004063FA" w:rsidRPr="004063FA" w14:paraId="5E4D3D03" w14:textId="77777777" w:rsidTr="00107E45">
        <w:tc>
          <w:tcPr>
            <w:tcW w:w="846" w:type="dxa"/>
            <w:shd w:val="clear" w:color="auto" w:fill="auto"/>
          </w:tcPr>
          <w:p w14:paraId="65ECDBDB" w14:textId="77777777" w:rsidR="004063FA" w:rsidRPr="00107E45" w:rsidRDefault="004063FA" w:rsidP="00107E45">
            <w:pPr>
              <w:pStyle w:val="ListParagraph"/>
              <w:numPr>
                <w:ilvl w:val="0"/>
                <w:numId w:val="6"/>
              </w:numPr>
              <w:spacing w:before="120"/>
              <w:rPr>
                <w:sz w:val="26"/>
                <w:szCs w:val="26"/>
              </w:rPr>
            </w:pPr>
            <w:r w:rsidRPr="00107E45">
              <w:rPr>
                <w:sz w:val="26"/>
                <w:szCs w:val="26"/>
              </w:rPr>
              <w:t>24.</w:t>
            </w:r>
          </w:p>
        </w:tc>
        <w:tc>
          <w:tcPr>
            <w:tcW w:w="2806" w:type="dxa"/>
            <w:shd w:val="clear" w:color="auto" w:fill="auto"/>
          </w:tcPr>
          <w:p w14:paraId="4ABB4B2E" w14:textId="77777777" w:rsidR="004063FA" w:rsidRPr="004063FA" w:rsidRDefault="004063FA" w:rsidP="009F09EE">
            <w:pPr>
              <w:spacing w:before="120"/>
              <w:jc w:val="both"/>
              <w:rPr>
                <w:rFonts w:ascii="Times New Roman" w:hAnsi="Times New Roman"/>
                <w:sz w:val="26"/>
                <w:szCs w:val="26"/>
              </w:rPr>
            </w:pPr>
            <w:r w:rsidRPr="004063FA">
              <w:rPr>
                <w:rFonts w:ascii="Times New Roman" w:hAnsi="Times New Roman"/>
                <w:sz w:val="26"/>
                <w:szCs w:val="26"/>
              </w:rPr>
              <w:t>Thông tư số 39/2018/TT-BYT</w:t>
            </w:r>
          </w:p>
        </w:tc>
        <w:tc>
          <w:tcPr>
            <w:tcW w:w="4253" w:type="dxa"/>
            <w:shd w:val="clear" w:color="auto" w:fill="auto"/>
          </w:tcPr>
          <w:p w14:paraId="0E400FC3" w14:textId="77777777" w:rsidR="004063FA" w:rsidRPr="004063FA" w:rsidRDefault="004063FA" w:rsidP="009F09EE">
            <w:pPr>
              <w:tabs>
                <w:tab w:val="left" w:pos="851"/>
                <w:tab w:val="left" w:pos="900"/>
              </w:tabs>
              <w:spacing w:before="120"/>
              <w:jc w:val="both"/>
              <w:rPr>
                <w:rFonts w:ascii="Times New Roman" w:hAnsi="Times New Roman"/>
                <w:sz w:val="26"/>
                <w:szCs w:val="26"/>
              </w:rPr>
            </w:pPr>
            <w:r w:rsidRPr="004063FA">
              <w:rPr>
                <w:rFonts w:ascii="Times New Roman" w:hAnsi="Times New Roman"/>
                <w:sz w:val="26"/>
                <w:szCs w:val="26"/>
              </w:rPr>
              <w:t>Thông tư số 39/2018/TT-BYT ngày 30/11/2018 của Bộ trưởng Bộ Y tế về việc quy định thống nhất giá dịch vụ KCB BHYT giữa các bệnh nhân cùng hạng trên toàn quốc và hướng dẫn áp dụng giá, thanh toán chi phí KCB trong một số trường hợp.</w:t>
            </w:r>
          </w:p>
        </w:tc>
        <w:tc>
          <w:tcPr>
            <w:tcW w:w="2125" w:type="dxa"/>
            <w:shd w:val="clear" w:color="auto" w:fill="auto"/>
          </w:tcPr>
          <w:p w14:paraId="4AA95C78" w14:textId="77777777" w:rsidR="004063FA" w:rsidRPr="004063FA" w:rsidRDefault="004063FA" w:rsidP="009F09EE">
            <w:pPr>
              <w:spacing w:before="120"/>
              <w:jc w:val="center"/>
              <w:rPr>
                <w:rFonts w:ascii="Times New Roman" w:hAnsi="Times New Roman"/>
                <w:sz w:val="26"/>
                <w:szCs w:val="26"/>
              </w:rPr>
            </w:pPr>
            <w:r w:rsidRPr="004063FA">
              <w:rPr>
                <w:rFonts w:ascii="Times New Roman" w:hAnsi="Times New Roman"/>
                <w:sz w:val="26"/>
                <w:szCs w:val="26"/>
              </w:rPr>
              <w:t>15/01/2019</w:t>
            </w:r>
          </w:p>
        </w:tc>
      </w:tr>
      <w:tr w:rsidR="004063FA" w:rsidRPr="004063FA" w14:paraId="5FD28128" w14:textId="77777777" w:rsidTr="00107E45">
        <w:tc>
          <w:tcPr>
            <w:tcW w:w="846" w:type="dxa"/>
            <w:shd w:val="clear" w:color="auto" w:fill="auto"/>
          </w:tcPr>
          <w:p w14:paraId="542A78A0" w14:textId="77777777" w:rsidR="004063FA" w:rsidRPr="00107E45" w:rsidRDefault="004063FA" w:rsidP="00107E45">
            <w:pPr>
              <w:pStyle w:val="ListParagraph"/>
              <w:numPr>
                <w:ilvl w:val="0"/>
                <w:numId w:val="6"/>
              </w:numPr>
              <w:spacing w:before="120"/>
              <w:rPr>
                <w:sz w:val="26"/>
                <w:szCs w:val="26"/>
              </w:rPr>
            </w:pPr>
            <w:r w:rsidRPr="00107E45">
              <w:rPr>
                <w:sz w:val="26"/>
                <w:szCs w:val="26"/>
              </w:rPr>
              <w:t>25.</w:t>
            </w:r>
          </w:p>
        </w:tc>
        <w:tc>
          <w:tcPr>
            <w:tcW w:w="2806" w:type="dxa"/>
            <w:shd w:val="clear" w:color="auto" w:fill="auto"/>
          </w:tcPr>
          <w:p w14:paraId="7C627879" w14:textId="77777777" w:rsidR="004063FA" w:rsidRPr="004063FA" w:rsidRDefault="004063FA" w:rsidP="009F09EE">
            <w:pPr>
              <w:spacing w:before="120"/>
              <w:jc w:val="both"/>
              <w:rPr>
                <w:rFonts w:ascii="Times New Roman" w:hAnsi="Times New Roman"/>
                <w:sz w:val="26"/>
                <w:szCs w:val="26"/>
              </w:rPr>
            </w:pPr>
            <w:r w:rsidRPr="004063FA">
              <w:rPr>
                <w:rFonts w:ascii="Times New Roman" w:hAnsi="Times New Roman"/>
                <w:sz w:val="26"/>
                <w:szCs w:val="26"/>
              </w:rPr>
              <w:t>Thông tư số 27/2018/TT-BYT</w:t>
            </w:r>
          </w:p>
        </w:tc>
        <w:tc>
          <w:tcPr>
            <w:tcW w:w="4253" w:type="dxa"/>
            <w:shd w:val="clear" w:color="auto" w:fill="auto"/>
          </w:tcPr>
          <w:p w14:paraId="68B4BECE" w14:textId="77777777" w:rsidR="004063FA" w:rsidRPr="004063FA" w:rsidRDefault="004063FA" w:rsidP="009F09EE">
            <w:pPr>
              <w:tabs>
                <w:tab w:val="left" w:pos="851"/>
                <w:tab w:val="left" w:pos="900"/>
              </w:tabs>
              <w:spacing w:before="120"/>
              <w:jc w:val="both"/>
              <w:rPr>
                <w:rFonts w:ascii="Times New Roman" w:hAnsi="Times New Roman"/>
                <w:sz w:val="26"/>
                <w:szCs w:val="26"/>
              </w:rPr>
            </w:pPr>
            <w:r w:rsidRPr="004063FA">
              <w:rPr>
                <w:rFonts w:ascii="Times New Roman" w:hAnsi="Times New Roman"/>
                <w:sz w:val="26"/>
                <w:szCs w:val="26"/>
              </w:rPr>
              <w:t>Thông tư số 27/2018/TT-BYT ngày 26/10/2018 của Bộ trưởng Bộ Y tế hướng dẫn thực hiện BHYT và KCB BHYT liên quan đến HIV/AIDS</w:t>
            </w:r>
          </w:p>
        </w:tc>
        <w:tc>
          <w:tcPr>
            <w:tcW w:w="2125" w:type="dxa"/>
            <w:shd w:val="clear" w:color="auto" w:fill="auto"/>
          </w:tcPr>
          <w:p w14:paraId="7908C09F" w14:textId="77777777" w:rsidR="004063FA" w:rsidRPr="004063FA" w:rsidRDefault="004063FA" w:rsidP="009F09EE">
            <w:pPr>
              <w:spacing w:before="120"/>
              <w:jc w:val="center"/>
              <w:rPr>
                <w:rFonts w:ascii="Times New Roman" w:hAnsi="Times New Roman"/>
                <w:sz w:val="26"/>
                <w:szCs w:val="26"/>
              </w:rPr>
            </w:pPr>
            <w:r w:rsidRPr="004063FA">
              <w:rPr>
                <w:rFonts w:ascii="Times New Roman" w:hAnsi="Times New Roman"/>
                <w:sz w:val="26"/>
                <w:szCs w:val="26"/>
              </w:rPr>
              <w:t>01/01/2019</w:t>
            </w:r>
          </w:p>
        </w:tc>
      </w:tr>
      <w:tr w:rsidR="004063FA" w:rsidRPr="004063FA" w14:paraId="0496BB29" w14:textId="77777777" w:rsidTr="00107E45">
        <w:tc>
          <w:tcPr>
            <w:tcW w:w="846" w:type="dxa"/>
            <w:shd w:val="clear" w:color="auto" w:fill="auto"/>
          </w:tcPr>
          <w:p w14:paraId="29B1BCDD" w14:textId="77777777" w:rsidR="004063FA" w:rsidRPr="00107E45" w:rsidRDefault="004063FA" w:rsidP="00107E45">
            <w:pPr>
              <w:pStyle w:val="ListParagraph"/>
              <w:numPr>
                <w:ilvl w:val="0"/>
                <w:numId w:val="6"/>
              </w:numPr>
              <w:spacing w:before="120"/>
              <w:rPr>
                <w:sz w:val="26"/>
                <w:szCs w:val="26"/>
              </w:rPr>
            </w:pPr>
            <w:r w:rsidRPr="00107E45">
              <w:rPr>
                <w:sz w:val="26"/>
                <w:szCs w:val="26"/>
              </w:rPr>
              <w:t>26.</w:t>
            </w:r>
          </w:p>
        </w:tc>
        <w:tc>
          <w:tcPr>
            <w:tcW w:w="2806" w:type="dxa"/>
            <w:shd w:val="clear" w:color="auto" w:fill="auto"/>
          </w:tcPr>
          <w:p w14:paraId="22A74241" w14:textId="77777777" w:rsidR="004063FA" w:rsidRPr="004063FA" w:rsidRDefault="004063FA" w:rsidP="009F09EE">
            <w:pPr>
              <w:spacing w:before="120"/>
              <w:jc w:val="both"/>
              <w:rPr>
                <w:rFonts w:ascii="Times New Roman" w:hAnsi="Times New Roman"/>
                <w:sz w:val="26"/>
                <w:szCs w:val="26"/>
              </w:rPr>
            </w:pPr>
            <w:r w:rsidRPr="004063FA">
              <w:rPr>
                <w:rFonts w:ascii="Times New Roman" w:hAnsi="Times New Roman"/>
                <w:sz w:val="26"/>
                <w:szCs w:val="26"/>
              </w:rPr>
              <w:t>Thông tư số 09/2019/TT-BYT</w:t>
            </w:r>
          </w:p>
        </w:tc>
        <w:tc>
          <w:tcPr>
            <w:tcW w:w="4253" w:type="dxa"/>
            <w:shd w:val="clear" w:color="auto" w:fill="auto"/>
          </w:tcPr>
          <w:p w14:paraId="05A57489" w14:textId="77777777" w:rsidR="004063FA" w:rsidRPr="004063FA" w:rsidRDefault="004063FA" w:rsidP="009F09EE">
            <w:pPr>
              <w:tabs>
                <w:tab w:val="left" w:pos="851"/>
                <w:tab w:val="left" w:pos="900"/>
              </w:tabs>
              <w:spacing w:before="120"/>
              <w:jc w:val="both"/>
              <w:rPr>
                <w:rFonts w:ascii="Times New Roman" w:hAnsi="Times New Roman"/>
                <w:sz w:val="26"/>
                <w:szCs w:val="26"/>
              </w:rPr>
            </w:pPr>
            <w:r w:rsidRPr="004063FA">
              <w:rPr>
                <w:rFonts w:ascii="Times New Roman" w:hAnsi="Times New Roman"/>
                <w:sz w:val="26"/>
                <w:szCs w:val="26"/>
              </w:rPr>
              <w:t>Thông tư số 09/2019/TT-BYT ngày 01/3/2019 của Bộ trưởng Bộ Y tế hướng dẫn thẩm định điều kiện ký hợp đồng KCB BHYT ban đầu, chuyển thực hiện dịch vụ cận lâm sàng và một số trường hợp thanh toán trực tiếp chi phí trong KCB BHYT</w:t>
            </w:r>
          </w:p>
        </w:tc>
        <w:tc>
          <w:tcPr>
            <w:tcW w:w="2125" w:type="dxa"/>
            <w:shd w:val="clear" w:color="auto" w:fill="auto"/>
          </w:tcPr>
          <w:p w14:paraId="377452BC" w14:textId="77777777" w:rsidR="004063FA" w:rsidRPr="004063FA" w:rsidRDefault="004063FA" w:rsidP="009F09EE">
            <w:pPr>
              <w:spacing w:before="120"/>
              <w:jc w:val="center"/>
              <w:rPr>
                <w:rFonts w:ascii="Times New Roman" w:hAnsi="Times New Roman"/>
                <w:sz w:val="26"/>
                <w:szCs w:val="26"/>
              </w:rPr>
            </w:pPr>
            <w:r w:rsidRPr="004063FA">
              <w:rPr>
                <w:rFonts w:ascii="Times New Roman" w:hAnsi="Times New Roman"/>
                <w:sz w:val="26"/>
                <w:szCs w:val="26"/>
              </w:rPr>
              <w:t>01/8/2019</w:t>
            </w:r>
          </w:p>
        </w:tc>
      </w:tr>
      <w:tr w:rsidR="004063FA" w:rsidRPr="004063FA" w14:paraId="08C52B9B" w14:textId="77777777" w:rsidTr="00107E45">
        <w:tc>
          <w:tcPr>
            <w:tcW w:w="846" w:type="dxa"/>
            <w:shd w:val="clear" w:color="auto" w:fill="auto"/>
          </w:tcPr>
          <w:p w14:paraId="2596C49A" w14:textId="77777777" w:rsidR="004063FA" w:rsidRPr="00107E45" w:rsidRDefault="004063FA" w:rsidP="00107E45">
            <w:pPr>
              <w:pStyle w:val="ListParagraph"/>
              <w:numPr>
                <w:ilvl w:val="0"/>
                <w:numId w:val="6"/>
              </w:numPr>
              <w:spacing w:before="120"/>
              <w:rPr>
                <w:sz w:val="26"/>
                <w:szCs w:val="26"/>
              </w:rPr>
            </w:pPr>
            <w:r w:rsidRPr="00107E45">
              <w:rPr>
                <w:sz w:val="26"/>
                <w:szCs w:val="26"/>
              </w:rPr>
              <w:t>27.</w:t>
            </w:r>
          </w:p>
        </w:tc>
        <w:tc>
          <w:tcPr>
            <w:tcW w:w="2806" w:type="dxa"/>
            <w:shd w:val="clear" w:color="auto" w:fill="auto"/>
          </w:tcPr>
          <w:p w14:paraId="2400FDF8" w14:textId="77777777" w:rsidR="004063FA" w:rsidRPr="004063FA" w:rsidRDefault="004063FA" w:rsidP="009F09EE">
            <w:pPr>
              <w:spacing w:before="120"/>
              <w:jc w:val="both"/>
              <w:rPr>
                <w:rFonts w:ascii="Times New Roman" w:hAnsi="Times New Roman"/>
                <w:sz w:val="26"/>
                <w:szCs w:val="26"/>
              </w:rPr>
            </w:pPr>
            <w:r w:rsidRPr="004063FA">
              <w:rPr>
                <w:rFonts w:ascii="Times New Roman" w:hAnsi="Times New Roman"/>
                <w:sz w:val="26"/>
                <w:szCs w:val="26"/>
              </w:rPr>
              <w:t xml:space="preserve">Thông tư số </w:t>
            </w:r>
            <w:r w:rsidRPr="004063FA">
              <w:rPr>
                <w:rFonts w:ascii="Times New Roman" w:hAnsi="Times New Roman"/>
                <w:sz w:val="26"/>
                <w:szCs w:val="26"/>
                <w:lang w:val="vi-VN"/>
              </w:rPr>
              <w:t>13/2019/TT-BYT</w:t>
            </w:r>
          </w:p>
        </w:tc>
        <w:tc>
          <w:tcPr>
            <w:tcW w:w="4253" w:type="dxa"/>
            <w:shd w:val="clear" w:color="auto" w:fill="auto"/>
          </w:tcPr>
          <w:p w14:paraId="551BEB82" w14:textId="77777777" w:rsidR="004063FA" w:rsidRPr="004063FA" w:rsidRDefault="004063FA" w:rsidP="009F09EE">
            <w:pPr>
              <w:tabs>
                <w:tab w:val="left" w:pos="851"/>
                <w:tab w:val="left" w:pos="900"/>
              </w:tabs>
              <w:spacing w:before="120"/>
              <w:jc w:val="both"/>
              <w:rPr>
                <w:rFonts w:ascii="Times New Roman" w:hAnsi="Times New Roman"/>
                <w:sz w:val="26"/>
                <w:szCs w:val="26"/>
              </w:rPr>
            </w:pPr>
            <w:r w:rsidRPr="004063FA">
              <w:rPr>
                <w:rFonts w:ascii="Times New Roman" w:hAnsi="Times New Roman"/>
                <w:sz w:val="26"/>
                <w:szCs w:val="26"/>
              </w:rPr>
              <w:t xml:space="preserve">Thông tư số </w:t>
            </w:r>
            <w:r w:rsidRPr="004063FA">
              <w:rPr>
                <w:rFonts w:ascii="Times New Roman" w:hAnsi="Times New Roman"/>
                <w:sz w:val="26"/>
                <w:szCs w:val="26"/>
                <w:lang w:val="vi-VN"/>
              </w:rPr>
              <w:t>13/2019/TT-BYT</w:t>
            </w:r>
            <w:r w:rsidRPr="004063FA">
              <w:rPr>
                <w:rFonts w:ascii="Times New Roman" w:hAnsi="Times New Roman"/>
                <w:sz w:val="26"/>
                <w:szCs w:val="26"/>
              </w:rPr>
              <w:t xml:space="preserve"> ngày 05/7/2019 của Bộ trưởng Bộ Y tế s</w:t>
            </w:r>
            <w:r w:rsidRPr="004063FA">
              <w:rPr>
                <w:rFonts w:ascii="Times New Roman" w:hAnsi="Times New Roman"/>
                <w:sz w:val="26"/>
                <w:szCs w:val="26"/>
                <w:lang w:val="vi-VN"/>
              </w:rPr>
              <w:t>ửa đổi, bổ sung một số điều của Thông tư số 39/2018/TT-BYT ngày 30 tháng 11 năm 2018 của Bộ trưởng Bộ Y tế quy định thống nhất giá dịch vụ KCB BHYT giữa các bệnh viện cùng hạng trong toàn quốc và hướng dẫn áp dụng giá, thanh toán chi phí KCB BHYT trong một số trường hợp</w:t>
            </w:r>
            <w:r w:rsidRPr="004063FA">
              <w:rPr>
                <w:rFonts w:ascii="Times New Roman" w:hAnsi="Times New Roman"/>
                <w:sz w:val="26"/>
                <w:szCs w:val="26"/>
              </w:rPr>
              <w:t>.</w:t>
            </w:r>
          </w:p>
        </w:tc>
        <w:tc>
          <w:tcPr>
            <w:tcW w:w="2125" w:type="dxa"/>
            <w:shd w:val="clear" w:color="auto" w:fill="auto"/>
          </w:tcPr>
          <w:p w14:paraId="2B26C0F4" w14:textId="77777777" w:rsidR="004063FA" w:rsidRPr="004063FA" w:rsidRDefault="004063FA" w:rsidP="009F09EE">
            <w:pPr>
              <w:spacing w:before="120"/>
              <w:jc w:val="center"/>
              <w:rPr>
                <w:rFonts w:ascii="Times New Roman" w:hAnsi="Times New Roman"/>
                <w:sz w:val="26"/>
                <w:szCs w:val="26"/>
              </w:rPr>
            </w:pPr>
            <w:r w:rsidRPr="004063FA">
              <w:rPr>
                <w:rFonts w:ascii="Times New Roman" w:hAnsi="Times New Roman"/>
                <w:sz w:val="26"/>
                <w:szCs w:val="26"/>
              </w:rPr>
              <w:t>20/8/2019</w:t>
            </w:r>
          </w:p>
        </w:tc>
      </w:tr>
      <w:tr w:rsidR="004063FA" w:rsidRPr="004063FA" w14:paraId="1FAE887A" w14:textId="77777777" w:rsidTr="00107E45">
        <w:tc>
          <w:tcPr>
            <w:tcW w:w="846" w:type="dxa"/>
            <w:shd w:val="clear" w:color="auto" w:fill="auto"/>
          </w:tcPr>
          <w:p w14:paraId="0F26A06B" w14:textId="77777777" w:rsidR="004063FA" w:rsidRPr="00107E45" w:rsidRDefault="004063FA" w:rsidP="00107E45">
            <w:pPr>
              <w:pStyle w:val="ListParagraph"/>
              <w:numPr>
                <w:ilvl w:val="0"/>
                <w:numId w:val="6"/>
              </w:numPr>
              <w:spacing w:before="120"/>
              <w:rPr>
                <w:sz w:val="26"/>
                <w:szCs w:val="26"/>
              </w:rPr>
            </w:pPr>
            <w:r w:rsidRPr="00107E45">
              <w:rPr>
                <w:sz w:val="26"/>
                <w:szCs w:val="26"/>
              </w:rPr>
              <w:lastRenderedPageBreak/>
              <w:t>28.</w:t>
            </w:r>
          </w:p>
        </w:tc>
        <w:tc>
          <w:tcPr>
            <w:tcW w:w="2806" w:type="dxa"/>
            <w:shd w:val="clear" w:color="auto" w:fill="auto"/>
          </w:tcPr>
          <w:p w14:paraId="57E4EACF" w14:textId="77777777" w:rsidR="004063FA" w:rsidRPr="004063FA" w:rsidRDefault="004063FA" w:rsidP="009F09EE">
            <w:pPr>
              <w:spacing w:before="120"/>
              <w:jc w:val="both"/>
              <w:rPr>
                <w:rFonts w:ascii="Times New Roman" w:hAnsi="Times New Roman"/>
                <w:sz w:val="26"/>
                <w:szCs w:val="26"/>
              </w:rPr>
            </w:pPr>
            <w:r w:rsidRPr="004063FA">
              <w:rPr>
                <w:rFonts w:ascii="Times New Roman" w:hAnsi="Times New Roman"/>
                <w:sz w:val="26"/>
                <w:szCs w:val="26"/>
              </w:rPr>
              <w:t>Thông tư số 01/2020/TT-BYT</w:t>
            </w:r>
          </w:p>
        </w:tc>
        <w:tc>
          <w:tcPr>
            <w:tcW w:w="4253" w:type="dxa"/>
            <w:shd w:val="clear" w:color="auto" w:fill="auto"/>
          </w:tcPr>
          <w:p w14:paraId="0410DB0C" w14:textId="77777777" w:rsidR="004063FA" w:rsidRPr="004063FA" w:rsidRDefault="004063FA" w:rsidP="009F09EE">
            <w:pPr>
              <w:tabs>
                <w:tab w:val="left" w:pos="851"/>
                <w:tab w:val="left" w:pos="900"/>
              </w:tabs>
              <w:spacing w:before="120"/>
              <w:jc w:val="both"/>
              <w:rPr>
                <w:rFonts w:ascii="Times New Roman" w:hAnsi="Times New Roman"/>
                <w:sz w:val="26"/>
                <w:szCs w:val="26"/>
              </w:rPr>
            </w:pPr>
            <w:r w:rsidRPr="004063FA">
              <w:rPr>
                <w:rFonts w:ascii="Times New Roman" w:hAnsi="Times New Roman"/>
                <w:sz w:val="26"/>
                <w:szCs w:val="26"/>
              </w:rPr>
              <w:t>Thông tư số 01/2020/TT-BYT ngày 16/01/2020 của Bộ trưởng Bộ Y tế sửa đổi, bổ sung Thông tư số 30/2018/TT-BYT ngày 30 tháng 10 năm 2018 của Bộ trưởng Bộ Y tế ban hành Danh mục và tỷ lệ, điều kiện thanh toán đối với thuốc hóa dược, sinh phẩm, thuốc phóng xạ và chất đánh dấu thuộc phạm vi được hưởng của người tham gia BHYT.</w:t>
            </w:r>
          </w:p>
        </w:tc>
        <w:tc>
          <w:tcPr>
            <w:tcW w:w="2125" w:type="dxa"/>
            <w:shd w:val="clear" w:color="auto" w:fill="auto"/>
          </w:tcPr>
          <w:p w14:paraId="15B018A7" w14:textId="77777777" w:rsidR="004063FA" w:rsidRPr="004063FA" w:rsidRDefault="004063FA" w:rsidP="009F09EE">
            <w:pPr>
              <w:spacing w:before="120"/>
              <w:jc w:val="center"/>
              <w:rPr>
                <w:rFonts w:ascii="Times New Roman" w:hAnsi="Times New Roman"/>
                <w:sz w:val="26"/>
                <w:szCs w:val="26"/>
              </w:rPr>
            </w:pPr>
            <w:r w:rsidRPr="004063FA">
              <w:rPr>
                <w:rFonts w:ascii="Times New Roman" w:hAnsi="Times New Roman"/>
                <w:sz w:val="26"/>
                <w:szCs w:val="26"/>
              </w:rPr>
              <w:t>01/3/2020</w:t>
            </w:r>
          </w:p>
        </w:tc>
      </w:tr>
      <w:tr w:rsidR="004063FA" w:rsidRPr="004063FA" w14:paraId="0EDEAF62" w14:textId="77777777" w:rsidTr="00107E45">
        <w:tc>
          <w:tcPr>
            <w:tcW w:w="846" w:type="dxa"/>
            <w:shd w:val="clear" w:color="auto" w:fill="auto"/>
          </w:tcPr>
          <w:p w14:paraId="05B66094" w14:textId="77777777" w:rsidR="004063FA" w:rsidRPr="00107E45" w:rsidRDefault="004063FA" w:rsidP="00107E45">
            <w:pPr>
              <w:pStyle w:val="ListParagraph"/>
              <w:numPr>
                <w:ilvl w:val="0"/>
                <w:numId w:val="6"/>
              </w:numPr>
              <w:spacing w:before="120"/>
              <w:rPr>
                <w:sz w:val="26"/>
                <w:szCs w:val="26"/>
              </w:rPr>
            </w:pPr>
            <w:r w:rsidRPr="00107E45">
              <w:rPr>
                <w:sz w:val="26"/>
                <w:szCs w:val="26"/>
              </w:rPr>
              <w:t>29.</w:t>
            </w:r>
          </w:p>
        </w:tc>
        <w:tc>
          <w:tcPr>
            <w:tcW w:w="2806" w:type="dxa"/>
            <w:shd w:val="clear" w:color="auto" w:fill="auto"/>
          </w:tcPr>
          <w:p w14:paraId="40A3C058" w14:textId="77777777" w:rsidR="004063FA" w:rsidRPr="004063FA" w:rsidRDefault="004063FA" w:rsidP="009F09EE">
            <w:pPr>
              <w:spacing w:before="120"/>
              <w:jc w:val="both"/>
              <w:rPr>
                <w:rFonts w:ascii="Times New Roman" w:hAnsi="Times New Roman"/>
                <w:sz w:val="26"/>
                <w:szCs w:val="26"/>
              </w:rPr>
            </w:pPr>
            <w:r w:rsidRPr="004063FA">
              <w:rPr>
                <w:rFonts w:ascii="Times New Roman" w:hAnsi="Times New Roman"/>
                <w:sz w:val="26"/>
                <w:szCs w:val="26"/>
              </w:rPr>
              <w:t>Thông tư số 13/2020/TT-BYT</w:t>
            </w:r>
          </w:p>
        </w:tc>
        <w:tc>
          <w:tcPr>
            <w:tcW w:w="4253" w:type="dxa"/>
            <w:shd w:val="clear" w:color="auto" w:fill="auto"/>
          </w:tcPr>
          <w:p w14:paraId="6516BABF" w14:textId="77777777" w:rsidR="004063FA" w:rsidRPr="004063FA" w:rsidRDefault="004063FA" w:rsidP="009F09EE">
            <w:pPr>
              <w:tabs>
                <w:tab w:val="left" w:pos="851"/>
                <w:tab w:val="left" w:pos="900"/>
              </w:tabs>
              <w:spacing w:before="120"/>
              <w:jc w:val="both"/>
              <w:rPr>
                <w:rFonts w:ascii="Times New Roman" w:hAnsi="Times New Roman"/>
                <w:sz w:val="26"/>
                <w:szCs w:val="26"/>
              </w:rPr>
            </w:pPr>
            <w:r w:rsidRPr="004063FA">
              <w:rPr>
                <w:rFonts w:ascii="Times New Roman" w:hAnsi="Times New Roman"/>
                <w:sz w:val="26"/>
                <w:szCs w:val="26"/>
              </w:rPr>
              <w:t>Thông tư số 13/2020/TT-BYT ngày 22/6/2020 của Bộ trưởng Bộ Y tế sửa đổi, bổ sung một số điều của Thông tư số 35/2016/TT-BYT ngày 28/9/2016 của Bộ trưởng Bộ Y tế ban hành danh mục và tỷ lệ, điều kiện thanh toán đối với dịch vụ kỹ thuật y tế thuộc phạm vi được hưởng của người tham gia BHYT.</w:t>
            </w:r>
          </w:p>
        </w:tc>
        <w:tc>
          <w:tcPr>
            <w:tcW w:w="2125" w:type="dxa"/>
            <w:shd w:val="clear" w:color="auto" w:fill="auto"/>
          </w:tcPr>
          <w:p w14:paraId="340715DE" w14:textId="77777777" w:rsidR="004063FA" w:rsidRPr="004063FA" w:rsidRDefault="004063FA" w:rsidP="009F09EE">
            <w:pPr>
              <w:spacing w:before="120"/>
              <w:jc w:val="center"/>
              <w:rPr>
                <w:rFonts w:ascii="Times New Roman" w:hAnsi="Times New Roman"/>
                <w:sz w:val="26"/>
                <w:szCs w:val="26"/>
              </w:rPr>
            </w:pPr>
            <w:r w:rsidRPr="004063FA">
              <w:rPr>
                <w:rFonts w:ascii="Times New Roman" w:hAnsi="Times New Roman"/>
                <w:sz w:val="26"/>
                <w:szCs w:val="26"/>
              </w:rPr>
              <w:t>10/8/2020</w:t>
            </w:r>
          </w:p>
        </w:tc>
      </w:tr>
      <w:tr w:rsidR="004063FA" w:rsidRPr="004063FA" w14:paraId="4C46D6D8" w14:textId="77777777" w:rsidTr="00107E45">
        <w:tc>
          <w:tcPr>
            <w:tcW w:w="846" w:type="dxa"/>
            <w:shd w:val="clear" w:color="auto" w:fill="auto"/>
          </w:tcPr>
          <w:p w14:paraId="0FFAEBE4" w14:textId="77777777" w:rsidR="004063FA" w:rsidRPr="00107E45" w:rsidRDefault="004063FA" w:rsidP="00107E45">
            <w:pPr>
              <w:pStyle w:val="ListParagraph"/>
              <w:numPr>
                <w:ilvl w:val="0"/>
                <w:numId w:val="6"/>
              </w:numPr>
              <w:spacing w:before="120"/>
              <w:rPr>
                <w:sz w:val="26"/>
                <w:szCs w:val="26"/>
              </w:rPr>
            </w:pPr>
            <w:r w:rsidRPr="00107E45">
              <w:rPr>
                <w:sz w:val="26"/>
                <w:szCs w:val="26"/>
              </w:rPr>
              <w:t>30.</w:t>
            </w:r>
          </w:p>
        </w:tc>
        <w:tc>
          <w:tcPr>
            <w:tcW w:w="2806" w:type="dxa"/>
            <w:shd w:val="clear" w:color="auto" w:fill="auto"/>
          </w:tcPr>
          <w:p w14:paraId="28384087" w14:textId="77777777" w:rsidR="004063FA" w:rsidRPr="004063FA" w:rsidRDefault="004063FA" w:rsidP="009F09EE">
            <w:pPr>
              <w:spacing w:before="120"/>
              <w:jc w:val="both"/>
              <w:rPr>
                <w:rFonts w:ascii="Times New Roman" w:hAnsi="Times New Roman"/>
                <w:sz w:val="26"/>
                <w:szCs w:val="26"/>
              </w:rPr>
            </w:pPr>
            <w:r w:rsidRPr="004063FA">
              <w:rPr>
                <w:rFonts w:ascii="Times New Roman" w:hAnsi="Times New Roman"/>
                <w:sz w:val="26"/>
                <w:szCs w:val="26"/>
              </w:rPr>
              <w:t>Thông tư số 20/2020/TT-BYT</w:t>
            </w:r>
          </w:p>
        </w:tc>
        <w:tc>
          <w:tcPr>
            <w:tcW w:w="4253" w:type="dxa"/>
            <w:shd w:val="clear" w:color="auto" w:fill="auto"/>
          </w:tcPr>
          <w:p w14:paraId="11104573" w14:textId="77777777" w:rsidR="004063FA" w:rsidRPr="004063FA" w:rsidRDefault="004063FA" w:rsidP="009F09EE">
            <w:pPr>
              <w:tabs>
                <w:tab w:val="left" w:pos="851"/>
                <w:tab w:val="left" w:pos="900"/>
              </w:tabs>
              <w:spacing w:before="120"/>
              <w:jc w:val="both"/>
              <w:rPr>
                <w:rFonts w:ascii="Times New Roman" w:hAnsi="Times New Roman"/>
                <w:sz w:val="26"/>
                <w:szCs w:val="26"/>
              </w:rPr>
            </w:pPr>
            <w:r w:rsidRPr="004063FA">
              <w:rPr>
                <w:rFonts w:ascii="Times New Roman" w:hAnsi="Times New Roman"/>
                <w:sz w:val="26"/>
                <w:szCs w:val="26"/>
              </w:rPr>
              <w:t>Thông tư số 20/2020/TT-BYT ngày 26/11/2020 của Bộ trưởng Bộ Y tế sửa đổi Thông tư 30/2018/TT-BYT ngày 30/10/2018 của Bộ trưởng Bộ Y tế ban hành Danh mục và tỷ lệ, điều kiện thanh toán đối với thuốc hóa dược, sinh phẩm, thuốc phóng xạ và chất đánh dấu thuộc phạm vi được hưởng của người tham gia BHYT.</w:t>
            </w:r>
          </w:p>
        </w:tc>
        <w:tc>
          <w:tcPr>
            <w:tcW w:w="2125" w:type="dxa"/>
            <w:shd w:val="clear" w:color="auto" w:fill="auto"/>
          </w:tcPr>
          <w:p w14:paraId="38450E6A" w14:textId="77777777" w:rsidR="004063FA" w:rsidRPr="004063FA" w:rsidRDefault="004063FA" w:rsidP="009F09EE">
            <w:pPr>
              <w:spacing w:before="120"/>
              <w:jc w:val="center"/>
              <w:rPr>
                <w:rFonts w:ascii="Times New Roman" w:hAnsi="Times New Roman"/>
                <w:sz w:val="26"/>
                <w:szCs w:val="26"/>
              </w:rPr>
            </w:pPr>
            <w:r w:rsidRPr="004063FA">
              <w:rPr>
                <w:rFonts w:ascii="Times New Roman" w:hAnsi="Times New Roman"/>
                <w:sz w:val="26"/>
                <w:szCs w:val="26"/>
              </w:rPr>
              <w:t>15/01/2021</w:t>
            </w:r>
          </w:p>
        </w:tc>
      </w:tr>
      <w:tr w:rsidR="004063FA" w:rsidRPr="004063FA" w14:paraId="06DBBBDD" w14:textId="77777777" w:rsidTr="00107E45">
        <w:tc>
          <w:tcPr>
            <w:tcW w:w="846" w:type="dxa"/>
            <w:shd w:val="clear" w:color="auto" w:fill="auto"/>
          </w:tcPr>
          <w:p w14:paraId="54ACEA3E" w14:textId="77777777" w:rsidR="004063FA" w:rsidRPr="00107E45" w:rsidRDefault="004063FA" w:rsidP="00107E45">
            <w:pPr>
              <w:pStyle w:val="ListParagraph"/>
              <w:numPr>
                <w:ilvl w:val="0"/>
                <w:numId w:val="6"/>
              </w:numPr>
              <w:spacing w:before="120"/>
              <w:rPr>
                <w:sz w:val="26"/>
                <w:szCs w:val="26"/>
              </w:rPr>
            </w:pPr>
            <w:r w:rsidRPr="00107E45">
              <w:rPr>
                <w:sz w:val="26"/>
                <w:szCs w:val="26"/>
              </w:rPr>
              <w:t>31.</w:t>
            </w:r>
          </w:p>
        </w:tc>
        <w:tc>
          <w:tcPr>
            <w:tcW w:w="2806" w:type="dxa"/>
            <w:shd w:val="clear" w:color="auto" w:fill="auto"/>
          </w:tcPr>
          <w:p w14:paraId="08A33B32" w14:textId="77777777" w:rsidR="004063FA" w:rsidRPr="004063FA" w:rsidRDefault="004063FA" w:rsidP="009F09EE">
            <w:pPr>
              <w:spacing w:before="120"/>
              <w:jc w:val="both"/>
              <w:rPr>
                <w:rFonts w:ascii="Times New Roman" w:hAnsi="Times New Roman"/>
                <w:sz w:val="26"/>
                <w:szCs w:val="26"/>
              </w:rPr>
            </w:pPr>
            <w:r w:rsidRPr="004063FA">
              <w:rPr>
                <w:rFonts w:ascii="Times New Roman" w:hAnsi="Times New Roman"/>
                <w:sz w:val="26"/>
                <w:szCs w:val="26"/>
              </w:rPr>
              <w:t>Thông tư số 27/2020/TT-BYT</w:t>
            </w:r>
          </w:p>
        </w:tc>
        <w:tc>
          <w:tcPr>
            <w:tcW w:w="4253" w:type="dxa"/>
            <w:shd w:val="clear" w:color="auto" w:fill="auto"/>
          </w:tcPr>
          <w:p w14:paraId="7922AB80" w14:textId="77777777" w:rsidR="004063FA" w:rsidRPr="004063FA" w:rsidRDefault="004063FA" w:rsidP="009F09EE">
            <w:pPr>
              <w:tabs>
                <w:tab w:val="left" w:pos="851"/>
                <w:tab w:val="left" w:pos="900"/>
              </w:tabs>
              <w:spacing w:before="120"/>
              <w:jc w:val="both"/>
              <w:rPr>
                <w:rFonts w:ascii="Times New Roman" w:hAnsi="Times New Roman"/>
                <w:sz w:val="26"/>
                <w:szCs w:val="26"/>
              </w:rPr>
            </w:pPr>
            <w:r w:rsidRPr="004063FA">
              <w:rPr>
                <w:rFonts w:ascii="Times New Roman" w:hAnsi="Times New Roman"/>
                <w:sz w:val="26"/>
                <w:szCs w:val="26"/>
              </w:rPr>
              <w:t>Thông tư số 27/2020/TT-BYT ngày 31/12/2020 của Bộ trưởng Bộ Y tế sửa đổi, bổ sung Điều 5 Thông tư số 05/2015/TT-BYT ngày 17 tháng 3 năm 2015 của Bộ trưởng Bộ Y tế ban hành Danh mục thuốc đông y, thuốc từ dược liệu và vị thuốc y học cổ truyền thuộc phạm vi thanh toán của quỹ BHYT.</w:t>
            </w:r>
          </w:p>
        </w:tc>
        <w:tc>
          <w:tcPr>
            <w:tcW w:w="2125" w:type="dxa"/>
            <w:shd w:val="clear" w:color="auto" w:fill="auto"/>
          </w:tcPr>
          <w:p w14:paraId="421A527F" w14:textId="77777777" w:rsidR="004063FA" w:rsidRPr="004063FA" w:rsidRDefault="004063FA" w:rsidP="009F09EE">
            <w:pPr>
              <w:spacing w:before="120"/>
              <w:jc w:val="center"/>
              <w:rPr>
                <w:rFonts w:ascii="Times New Roman" w:hAnsi="Times New Roman"/>
                <w:sz w:val="26"/>
                <w:szCs w:val="26"/>
              </w:rPr>
            </w:pPr>
            <w:r w:rsidRPr="004063FA">
              <w:rPr>
                <w:rFonts w:ascii="Times New Roman" w:hAnsi="Times New Roman"/>
                <w:sz w:val="26"/>
                <w:szCs w:val="26"/>
              </w:rPr>
              <w:t>01/3/2021</w:t>
            </w:r>
          </w:p>
        </w:tc>
      </w:tr>
      <w:tr w:rsidR="004063FA" w:rsidRPr="004063FA" w14:paraId="5BA12B9D" w14:textId="77777777" w:rsidTr="00107E45">
        <w:tc>
          <w:tcPr>
            <w:tcW w:w="846" w:type="dxa"/>
            <w:shd w:val="clear" w:color="auto" w:fill="auto"/>
          </w:tcPr>
          <w:p w14:paraId="36C2CC13" w14:textId="77777777" w:rsidR="004063FA" w:rsidRPr="00107E45" w:rsidRDefault="004063FA" w:rsidP="00107E45">
            <w:pPr>
              <w:pStyle w:val="ListParagraph"/>
              <w:numPr>
                <w:ilvl w:val="0"/>
                <w:numId w:val="6"/>
              </w:numPr>
              <w:spacing w:before="120"/>
              <w:rPr>
                <w:sz w:val="26"/>
                <w:szCs w:val="26"/>
              </w:rPr>
            </w:pPr>
            <w:r w:rsidRPr="00107E45">
              <w:rPr>
                <w:sz w:val="26"/>
                <w:szCs w:val="26"/>
              </w:rPr>
              <w:t>32.</w:t>
            </w:r>
          </w:p>
        </w:tc>
        <w:tc>
          <w:tcPr>
            <w:tcW w:w="2806" w:type="dxa"/>
            <w:shd w:val="clear" w:color="auto" w:fill="auto"/>
          </w:tcPr>
          <w:p w14:paraId="6A1BD6FB" w14:textId="77777777" w:rsidR="004063FA" w:rsidRPr="004063FA" w:rsidRDefault="004063FA" w:rsidP="009F09EE">
            <w:pPr>
              <w:spacing w:before="120"/>
              <w:jc w:val="both"/>
              <w:rPr>
                <w:rFonts w:ascii="Times New Roman" w:hAnsi="Times New Roman"/>
                <w:sz w:val="26"/>
                <w:szCs w:val="26"/>
              </w:rPr>
            </w:pPr>
            <w:r w:rsidRPr="004063FA">
              <w:rPr>
                <w:rFonts w:ascii="Times New Roman" w:hAnsi="Times New Roman"/>
                <w:sz w:val="26"/>
                <w:szCs w:val="26"/>
              </w:rPr>
              <w:t>Thông tư số 30/2020/TT-BYT</w:t>
            </w:r>
          </w:p>
        </w:tc>
        <w:tc>
          <w:tcPr>
            <w:tcW w:w="4253" w:type="dxa"/>
            <w:shd w:val="clear" w:color="auto" w:fill="auto"/>
          </w:tcPr>
          <w:p w14:paraId="49135278" w14:textId="77777777" w:rsidR="004063FA" w:rsidRPr="004063FA" w:rsidRDefault="004063FA" w:rsidP="009F09EE">
            <w:pPr>
              <w:tabs>
                <w:tab w:val="left" w:pos="851"/>
                <w:tab w:val="left" w:pos="900"/>
              </w:tabs>
              <w:spacing w:before="120"/>
              <w:jc w:val="both"/>
              <w:rPr>
                <w:rFonts w:ascii="Times New Roman" w:hAnsi="Times New Roman"/>
                <w:sz w:val="26"/>
                <w:szCs w:val="26"/>
              </w:rPr>
            </w:pPr>
            <w:r w:rsidRPr="004063FA">
              <w:rPr>
                <w:rFonts w:ascii="Times New Roman" w:hAnsi="Times New Roman"/>
                <w:sz w:val="26"/>
                <w:szCs w:val="26"/>
              </w:rPr>
              <w:t>Thông tư số 30/2020/TT-BYT ngày 31/12/2020 của Bộ trưởng Bộ Y tế quy định chi tiết và hướng dẫn biện pháp thi hành một số điều của Nghị định số </w:t>
            </w:r>
            <w:hyperlink r:id="rId8" w:tgtFrame="_blank" w:tooltip="Văn bản tham chiếu" w:history="1">
              <w:r w:rsidRPr="004063FA">
                <w:rPr>
                  <w:rFonts w:ascii="Times New Roman" w:hAnsi="Times New Roman"/>
                  <w:sz w:val="26"/>
                  <w:szCs w:val="26"/>
                </w:rPr>
                <w:t>146/2018/NĐ-CP</w:t>
              </w:r>
            </w:hyperlink>
            <w:r w:rsidRPr="004063FA">
              <w:rPr>
                <w:rFonts w:ascii="Times New Roman" w:hAnsi="Times New Roman"/>
                <w:sz w:val="26"/>
                <w:szCs w:val="26"/>
              </w:rPr>
              <w:t> ngày 17 tháng 10 năm 2018 của Chính phủ quy định chi tiết và hướng dẫn biện pháp thi hành một số điều của Luật BHYT.</w:t>
            </w:r>
          </w:p>
        </w:tc>
        <w:tc>
          <w:tcPr>
            <w:tcW w:w="2125" w:type="dxa"/>
            <w:shd w:val="clear" w:color="auto" w:fill="auto"/>
          </w:tcPr>
          <w:p w14:paraId="054FA608" w14:textId="77777777" w:rsidR="004063FA" w:rsidRPr="004063FA" w:rsidRDefault="004063FA" w:rsidP="009F09EE">
            <w:pPr>
              <w:spacing w:before="120"/>
              <w:jc w:val="center"/>
              <w:rPr>
                <w:rFonts w:ascii="Times New Roman" w:hAnsi="Times New Roman"/>
                <w:sz w:val="26"/>
                <w:szCs w:val="26"/>
              </w:rPr>
            </w:pPr>
            <w:r w:rsidRPr="004063FA">
              <w:rPr>
                <w:rFonts w:ascii="Times New Roman" w:hAnsi="Times New Roman"/>
                <w:sz w:val="26"/>
                <w:szCs w:val="26"/>
              </w:rPr>
              <w:t>01/3/2021</w:t>
            </w:r>
          </w:p>
        </w:tc>
      </w:tr>
      <w:tr w:rsidR="00D54713" w:rsidRPr="004063FA" w14:paraId="6D19D13E" w14:textId="77777777" w:rsidTr="00107E45">
        <w:tc>
          <w:tcPr>
            <w:tcW w:w="846" w:type="dxa"/>
            <w:shd w:val="clear" w:color="auto" w:fill="auto"/>
          </w:tcPr>
          <w:p w14:paraId="1CF4D1AC" w14:textId="48EFA552" w:rsidR="00D54713" w:rsidRPr="00107E45" w:rsidRDefault="00D54713" w:rsidP="00107E45">
            <w:pPr>
              <w:pStyle w:val="ListParagraph"/>
              <w:numPr>
                <w:ilvl w:val="0"/>
                <w:numId w:val="6"/>
              </w:numPr>
              <w:spacing w:before="120"/>
              <w:rPr>
                <w:sz w:val="26"/>
                <w:szCs w:val="26"/>
              </w:rPr>
            </w:pPr>
            <w:r>
              <w:rPr>
                <w:sz w:val="26"/>
                <w:szCs w:val="26"/>
              </w:rPr>
              <w:lastRenderedPageBreak/>
              <w:t>Thô</w:t>
            </w:r>
          </w:p>
        </w:tc>
        <w:tc>
          <w:tcPr>
            <w:tcW w:w="2806" w:type="dxa"/>
            <w:shd w:val="clear" w:color="auto" w:fill="auto"/>
          </w:tcPr>
          <w:p w14:paraId="771C6802" w14:textId="75A575DB" w:rsidR="00D54713" w:rsidRPr="004063FA" w:rsidRDefault="00D54713" w:rsidP="009F09EE">
            <w:pPr>
              <w:spacing w:before="120"/>
              <w:jc w:val="both"/>
              <w:rPr>
                <w:rFonts w:ascii="Times New Roman" w:hAnsi="Times New Roman"/>
                <w:sz w:val="26"/>
                <w:szCs w:val="26"/>
              </w:rPr>
            </w:pPr>
            <w:r>
              <w:rPr>
                <w:rFonts w:ascii="Times New Roman" w:hAnsi="Times New Roman"/>
                <w:sz w:val="26"/>
                <w:szCs w:val="26"/>
              </w:rPr>
              <w:t>Thông tư số 35/2021/TT-BYT</w:t>
            </w:r>
          </w:p>
        </w:tc>
        <w:tc>
          <w:tcPr>
            <w:tcW w:w="4253" w:type="dxa"/>
            <w:shd w:val="clear" w:color="auto" w:fill="auto"/>
          </w:tcPr>
          <w:p w14:paraId="17CEFB3B" w14:textId="449FA3C0" w:rsidR="00D54713" w:rsidRPr="004063FA" w:rsidRDefault="006B4013" w:rsidP="009F09EE">
            <w:pPr>
              <w:tabs>
                <w:tab w:val="left" w:pos="851"/>
                <w:tab w:val="left" w:pos="900"/>
              </w:tabs>
              <w:spacing w:before="120"/>
              <w:jc w:val="both"/>
              <w:rPr>
                <w:rFonts w:ascii="Times New Roman" w:hAnsi="Times New Roman"/>
                <w:sz w:val="26"/>
                <w:szCs w:val="26"/>
              </w:rPr>
            </w:pPr>
            <w:r w:rsidRPr="006B4013">
              <w:rPr>
                <w:rFonts w:ascii="Times New Roman" w:hAnsi="Times New Roman"/>
                <w:sz w:val="26"/>
                <w:szCs w:val="26"/>
              </w:rPr>
              <w:t xml:space="preserve">Thông tư </w:t>
            </w:r>
            <w:r>
              <w:rPr>
                <w:rFonts w:ascii="Times New Roman" w:hAnsi="Times New Roman"/>
                <w:sz w:val="26"/>
                <w:szCs w:val="26"/>
              </w:rPr>
              <w:t>số 35/2021/TT-BYT của Bộ trưởng Bộ Y tế</w:t>
            </w:r>
            <w:r w:rsidRPr="006B4013">
              <w:rPr>
                <w:rFonts w:ascii="Times New Roman" w:hAnsi="Times New Roman"/>
                <w:sz w:val="26"/>
                <w:szCs w:val="26"/>
              </w:rPr>
              <w:t xml:space="preserve"> sửa đổi, bổ sung </w:t>
            </w:r>
            <w:bookmarkStart w:id="6" w:name="dc_2"/>
            <w:r w:rsidRPr="006B4013">
              <w:rPr>
                <w:rFonts w:ascii="Times New Roman" w:hAnsi="Times New Roman"/>
                <w:sz w:val="26"/>
                <w:szCs w:val="26"/>
              </w:rPr>
              <w:t>khoản 1 Điều 9 Thông tư số 30/2020/TT-BYT</w:t>
            </w:r>
            <w:bookmarkEnd w:id="6"/>
            <w:r w:rsidRPr="006B4013">
              <w:rPr>
                <w:rFonts w:ascii="Times New Roman" w:hAnsi="Times New Roman"/>
                <w:sz w:val="26"/>
                <w:szCs w:val="26"/>
              </w:rPr>
              <w:t> ngày 31 tháng 12 năm 2020 của Bộ trưởng Bộ Y tế quy định chi tiết và hướng dẫn biện pháp thi hành một số điều của Nghị định số </w:t>
            </w:r>
            <w:hyperlink r:id="rId9" w:tgtFrame="_blank" w:tooltip="Nghị định 146/2018/NĐ-CP" w:history="1">
              <w:r w:rsidRPr="006B4013">
                <w:t>146/2018/N</w:t>
              </w:r>
              <w:r w:rsidRPr="006B4013">
                <w:rPr>
                  <w:rFonts w:ascii="Calibri" w:hAnsi="Calibri" w:cs="Calibri"/>
                </w:rPr>
                <w:t>Đ</w:t>
              </w:r>
              <w:r w:rsidRPr="006B4013">
                <w:t>-CP</w:t>
              </w:r>
            </w:hyperlink>
            <w:r w:rsidRPr="006B4013">
              <w:rPr>
                <w:rFonts w:ascii="Times New Roman" w:hAnsi="Times New Roman"/>
                <w:sz w:val="26"/>
                <w:szCs w:val="26"/>
              </w:rPr>
              <w:t> ngày 17 tháng 10 năm 2018 của Chính phủ quy định chi tiết và hướng dẫn biện pháp thi hành một số điều của Luật Bảo hiểm y tế.</w:t>
            </w:r>
          </w:p>
        </w:tc>
        <w:tc>
          <w:tcPr>
            <w:tcW w:w="2125" w:type="dxa"/>
            <w:shd w:val="clear" w:color="auto" w:fill="auto"/>
          </w:tcPr>
          <w:p w14:paraId="7A88CC7D" w14:textId="509BC982" w:rsidR="00D54713" w:rsidRPr="004063FA" w:rsidRDefault="00D54713" w:rsidP="009F09EE">
            <w:pPr>
              <w:spacing w:before="120"/>
              <w:jc w:val="center"/>
              <w:rPr>
                <w:rFonts w:ascii="Times New Roman" w:hAnsi="Times New Roman"/>
                <w:sz w:val="26"/>
                <w:szCs w:val="26"/>
              </w:rPr>
            </w:pPr>
            <w:r>
              <w:rPr>
                <w:rFonts w:ascii="Times New Roman" w:hAnsi="Times New Roman"/>
                <w:sz w:val="26"/>
                <w:szCs w:val="26"/>
              </w:rPr>
              <w:t>15/02/2022</w:t>
            </w:r>
          </w:p>
        </w:tc>
      </w:tr>
      <w:tr w:rsidR="004063FA" w:rsidRPr="004063FA" w14:paraId="79F0D7AD" w14:textId="77777777" w:rsidTr="00107E45">
        <w:tc>
          <w:tcPr>
            <w:tcW w:w="846" w:type="dxa"/>
            <w:shd w:val="clear" w:color="auto" w:fill="auto"/>
          </w:tcPr>
          <w:p w14:paraId="51131467" w14:textId="77777777" w:rsidR="004063FA" w:rsidRPr="00107E45" w:rsidRDefault="004063FA" w:rsidP="00107E45">
            <w:pPr>
              <w:pStyle w:val="ListParagraph"/>
              <w:numPr>
                <w:ilvl w:val="0"/>
                <w:numId w:val="6"/>
              </w:numPr>
              <w:spacing w:before="120"/>
              <w:rPr>
                <w:sz w:val="26"/>
                <w:szCs w:val="26"/>
              </w:rPr>
            </w:pPr>
            <w:r w:rsidRPr="00107E45">
              <w:rPr>
                <w:sz w:val="26"/>
                <w:szCs w:val="26"/>
              </w:rPr>
              <w:t>33.</w:t>
            </w:r>
          </w:p>
        </w:tc>
        <w:tc>
          <w:tcPr>
            <w:tcW w:w="2806" w:type="dxa"/>
            <w:shd w:val="clear" w:color="auto" w:fill="auto"/>
          </w:tcPr>
          <w:p w14:paraId="6402A29C" w14:textId="77777777" w:rsidR="004063FA" w:rsidRPr="004063FA" w:rsidRDefault="004063FA" w:rsidP="009F09EE">
            <w:pPr>
              <w:spacing w:before="120"/>
              <w:jc w:val="both"/>
              <w:rPr>
                <w:rFonts w:ascii="Times New Roman" w:hAnsi="Times New Roman"/>
                <w:sz w:val="26"/>
                <w:szCs w:val="26"/>
              </w:rPr>
            </w:pPr>
            <w:r w:rsidRPr="004063FA">
              <w:rPr>
                <w:rFonts w:ascii="Times New Roman" w:hAnsi="Times New Roman"/>
                <w:sz w:val="26"/>
                <w:szCs w:val="26"/>
              </w:rPr>
              <w:t>Thông tư số 36/2021/TT-BYT</w:t>
            </w:r>
          </w:p>
        </w:tc>
        <w:tc>
          <w:tcPr>
            <w:tcW w:w="4253" w:type="dxa"/>
            <w:shd w:val="clear" w:color="auto" w:fill="auto"/>
          </w:tcPr>
          <w:p w14:paraId="542529CA" w14:textId="77777777" w:rsidR="004063FA" w:rsidRPr="004063FA" w:rsidRDefault="004063FA" w:rsidP="009F09EE">
            <w:pPr>
              <w:tabs>
                <w:tab w:val="left" w:pos="851"/>
                <w:tab w:val="left" w:pos="900"/>
              </w:tabs>
              <w:spacing w:before="120"/>
              <w:jc w:val="both"/>
              <w:rPr>
                <w:rFonts w:ascii="Times New Roman" w:hAnsi="Times New Roman"/>
                <w:sz w:val="26"/>
                <w:szCs w:val="26"/>
                <w:lang w:val="vi-VN"/>
              </w:rPr>
            </w:pPr>
            <w:r w:rsidRPr="004063FA">
              <w:rPr>
                <w:rFonts w:ascii="Times New Roman" w:hAnsi="Times New Roman"/>
                <w:sz w:val="26"/>
                <w:szCs w:val="26"/>
              </w:rPr>
              <w:t>Thông tư số 36/2021/TT-BYT ngày 31/12/2021 của Bộ trưởng Bộ Y tế quy định KCB và thanh toán chi phí KCB BHYT liên quan đến KCB lao.</w:t>
            </w:r>
          </w:p>
        </w:tc>
        <w:tc>
          <w:tcPr>
            <w:tcW w:w="2125" w:type="dxa"/>
            <w:shd w:val="clear" w:color="auto" w:fill="auto"/>
          </w:tcPr>
          <w:p w14:paraId="30C11289" w14:textId="77777777" w:rsidR="004063FA" w:rsidRPr="004063FA" w:rsidRDefault="004063FA" w:rsidP="00F01FDF">
            <w:pPr>
              <w:spacing w:before="120"/>
              <w:jc w:val="center"/>
              <w:rPr>
                <w:rFonts w:ascii="Times New Roman" w:hAnsi="Times New Roman"/>
                <w:sz w:val="26"/>
                <w:szCs w:val="26"/>
              </w:rPr>
            </w:pPr>
            <w:r w:rsidRPr="004063FA">
              <w:rPr>
                <w:rFonts w:ascii="Times New Roman" w:hAnsi="Times New Roman"/>
                <w:sz w:val="26"/>
                <w:szCs w:val="26"/>
              </w:rPr>
              <w:t>15/02/2022</w:t>
            </w:r>
          </w:p>
        </w:tc>
      </w:tr>
      <w:tr w:rsidR="004063FA" w:rsidRPr="004063FA" w14:paraId="34331F50" w14:textId="77777777" w:rsidTr="00107E45">
        <w:tc>
          <w:tcPr>
            <w:tcW w:w="846" w:type="dxa"/>
            <w:shd w:val="clear" w:color="auto" w:fill="auto"/>
          </w:tcPr>
          <w:p w14:paraId="278EF3BF" w14:textId="77777777" w:rsidR="004063FA" w:rsidRPr="00107E45" w:rsidRDefault="004063FA" w:rsidP="00107E45">
            <w:pPr>
              <w:pStyle w:val="ListParagraph"/>
              <w:numPr>
                <w:ilvl w:val="0"/>
                <w:numId w:val="6"/>
              </w:numPr>
              <w:spacing w:before="120"/>
              <w:rPr>
                <w:sz w:val="26"/>
                <w:szCs w:val="26"/>
              </w:rPr>
            </w:pPr>
            <w:r w:rsidRPr="00107E45">
              <w:rPr>
                <w:sz w:val="26"/>
                <w:szCs w:val="26"/>
              </w:rPr>
              <w:t>34.</w:t>
            </w:r>
          </w:p>
        </w:tc>
        <w:tc>
          <w:tcPr>
            <w:tcW w:w="2806" w:type="dxa"/>
            <w:shd w:val="clear" w:color="auto" w:fill="auto"/>
          </w:tcPr>
          <w:p w14:paraId="3229AF71" w14:textId="77777777" w:rsidR="004063FA" w:rsidRPr="004063FA" w:rsidRDefault="004063FA" w:rsidP="009F09EE">
            <w:pPr>
              <w:spacing w:before="120"/>
              <w:jc w:val="both"/>
              <w:rPr>
                <w:rFonts w:ascii="Times New Roman" w:hAnsi="Times New Roman"/>
                <w:sz w:val="26"/>
                <w:szCs w:val="26"/>
              </w:rPr>
            </w:pPr>
            <w:r w:rsidRPr="004063FA">
              <w:rPr>
                <w:rFonts w:ascii="Times New Roman" w:hAnsi="Times New Roman"/>
                <w:sz w:val="26"/>
                <w:szCs w:val="26"/>
              </w:rPr>
              <w:t>Thông tư số 20/2022/TT-BYT</w:t>
            </w:r>
          </w:p>
        </w:tc>
        <w:tc>
          <w:tcPr>
            <w:tcW w:w="4253" w:type="dxa"/>
            <w:shd w:val="clear" w:color="auto" w:fill="auto"/>
          </w:tcPr>
          <w:p w14:paraId="043C5FB7" w14:textId="77777777" w:rsidR="004063FA" w:rsidRPr="004063FA" w:rsidRDefault="004063FA" w:rsidP="009F09EE">
            <w:pPr>
              <w:tabs>
                <w:tab w:val="left" w:pos="851"/>
                <w:tab w:val="left" w:pos="900"/>
              </w:tabs>
              <w:spacing w:before="120"/>
              <w:jc w:val="both"/>
              <w:rPr>
                <w:rFonts w:ascii="Times New Roman" w:hAnsi="Times New Roman"/>
                <w:sz w:val="26"/>
                <w:szCs w:val="26"/>
              </w:rPr>
            </w:pPr>
            <w:r w:rsidRPr="004063FA">
              <w:rPr>
                <w:rFonts w:ascii="Times New Roman" w:hAnsi="Times New Roman"/>
                <w:sz w:val="26"/>
                <w:szCs w:val="26"/>
              </w:rPr>
              <w:t>Thông tư số 20/2022/TT-BYT ngày 31/12/2022 của Bộ trưởng Bộ Y tế ban hành Danh mục và tỷ lệ, điều kiện thanh toán đối với thuốc hóa dược, sinh phẩm, thuốc phóng xạ và chất đánh dấu thuộc phạm vi được hưởng của người tham gia BHYT.</w:t>
            </w:r>
          </w:p>
        </w:tc>
        <w:tc>
          <w:tcPr>
            <w:tcW w:w="2125" w:type="dxa"/>
            <w:shd w:val="clear" w:color="auto" w:fill="auto"/>
          </w:tcPr>
          <w:p w14:paraId="1B30A4E8" w14:textId="77777777" w:rsidR="004063FA" w:rsidRPr="004063FA" w:rsidRDefault="004063FA" w:rsidP="00F01FDF">
            <w:pPr>
              <w:spacing w:before="120"/>
              <w:jc w:val="center"/>
              <w:rPr>
                <w:rFonts w:ascii="Times New Roman" w:hAnsi="Times New Roman"/>
                <w:sz w:val="26"/>
                <w:szCs w:val="26"/>
              </w:rPr>
            </w:pPr>
            <w:r w:rsidRPr="004063FA">
              <w:rPr>
                <w:rFonts w:ascii="Times New Roman" w:hAnsi="Times New Roman"/>
                <w:sz w:val="26"/>
                <w:szCs w:val="26"/>
              </w:rPr>
              <w:t>01/3/2023</w:t>
            </w:r>
          </w:p>
        </w:tc>
      </w:tr>
      <w:tr w:rsidR="00F01FDF" w:rsidRPr="004063FA" w14:paraId="7EB817B7" w14:textId="77777777" w:rsidTr="00107E45">
        <w:tc>
          <w:tcPr>
            <w:tcW w:w="846" w:type="dxa"/>
            <w:shd w:val="clear" w:color="auto" w:fill="auto"/>
          </w:tcPr>
          <w:p w14:paraId="5F4AA7D5" w14:textId="083116D0" w:rsidR="00F01FDF" w:rsidRPr="00107E45" w:rsidRDefault="00F01FDF" w:rsidP="00107E45">
            <w:pPr>
              <w:pStyle w:val="ListParagraph"/>
              <w:numPr>
                <w:ilvl w:val="0"/>
                <w:numId w:val="6"/>
              </w:numPr>
              <w:spacing w:before="120"/>
              <w:rPr>
                <w:sz w:val="26"/>
                <w:szCs w:val="26"/>
              </w:rPr>
            </w:pPr>
            <w:r w:rsidRPr="00107E45">
              <w:rPr>
                <w:sz w:val="26"/>
                <w:szCs w:val="26"/>
              </w:rPr>
              <w:t>35.</w:t>
            </w:r>
          </w:p>
        </w:tc>
        <w:tc>
          <w:tcPr>
            <w:tcW w:w="2806" w:type="dxa"/>
            <w:shd w:val="clear" w:color="auto" w:fill="auto"/>
          </w:tcPr>
          <w:p w14:paraId="4E158BF1" w14:textId="1EED799E" w:rsidR="00F01FDF" w:rsidRPr="004063FA" w:rsidRDefault="00F01FDF" w:rsidP="009F09EE">
            <w:pPr>
              <w:spacing w:before="120"/>
              <w:jc w:val="both"/>
              <w:rPr>
                <w:rFonts w:ascii="Times New Roman" w:hAnsi="Times New Roman"/>
                <w:sz w:val="26"/>
                <w:szCs w:val="26"/>
              </w:rPr>
            </w:pPr>
            <w:r>
              <w:rPr>
                <w:rFonts w:ascii="Times New Roman" w:hAnsi="Times New Roman"/>
                <w:sz w:val="26"/>
                <w:szCs w:val="26"/>
              </w:rPr>
              <w:t>Thông tư số 22/2024/TT-BYT</w:t>
            </w:r>
          </w:p>
        </w:tc>
        <w:tc>
          <w:tcPr>
            <w:tcW w:w="4253" w:type="dxa"/>
            <w:shd w:val="clear" w:color="auto" w:fill="auto"/>
          </w:tcPr>
          <w:p w14:paraId="2BA6762B" w14:textId="3BCABDFA" w:rsidR="00F01FDF" w:rsidRPr="004063FA" w:rsidRDefault="00F01FDF" w:rsidP="009F09EE">
            <w:pPr>
              <w:tabs>
                <w:tab w:val="left" w:pos="851"/>
                <w:tab w:val="left" w:pos="900"/>
              </w:tabs>
              <w:spacing w:before="120"/>
              <w:jc w:val="both"/>
              <w:rPr>
                <w:rFonts w:ascii="Times New Roman" w:hAnsi="Times New Roman"/>
                <w:sz w:val="26"/>
                <w:szCs w:val="26"/>
              </w:rPr>
            </w:pPr>
            <w:r w:rsidRPr="00F01FDF">
              <w:rPr>
                <w:rFonts w:ascii="Times New Roman" w:hAnsi="Times New Roman"/>
                <w:sz w:val="26"/>
                <w:szCs w:val="26"/>
              </w:rPr>
              <w:t xml:space="preserve">Thông tư </w:t>
            </w:r>
            <w:r>
              <w:rPr>
                <w:rFonts w:ascii="Times New Roman" w:hAnsi="Times New Roman"/>
                <w:sz w:val="26"/>
                <w:szCs w:val="26"/>
              </w:rPr>
              <w:t xml:space="preserve">số 22/2024/TT-BYT ngày 18/10/2024 </w:t>
            </w:r>
            <w:r w:rsidRPr="004063FA">
              <w:rPr>
                <w:rFonts w:ascii="Times New Roman" w:hAnsi="Times New Roman"/>
                <w:sz w:val="26"/>
                <w:szCs w:val="26"/>
              </w:rPr>
              <w:t>của Bộ trưởng Bộ Y tế</w:t>
            </w:r>
            <w:r w:rsidRPr="00F01FDF">
              <w:rPr>
                <w:rFonts w:ascii="Times New Roman" w:hAnsi="Times New Roman"/>
                <w:sz w:val="26"/>
                <w:szCs w:val="26"/>
              </w:rPr>
              <w:t xml:space="preserve"> quy định về thanh toán chi phí thuốc, thiết bị y tế trực tiếp cho người có thẻ bảo hiểm y tế đi khám bệnh, chữa bệnh.</w:t>
            </w:r>
          </w:p>
        </w:tc>
        <w:tc>
          <w:tcPr>
            <w:tcW w:w="2125" w:type="dxa"/>
            <w:shd w:val="clear" w:color="auto" w:fill="auto"/>
          </w:tcPr>
          <w:p w14:paraId="2C100C64" w14:textId="3FC0F3A1" w:rsidR="00F01FDF" w:rsidRPr="004063FA" w:rsidRDefault="00F01FDF" w:rsidP="00F01FDF">
            <w:pPr>
              <w:spacing w:before="120"/>
              <w:jc w:val="center"/>
              <w:rPr>
                <w:rFonts w:ascii="Times New Roman" w:hAnsi="Times New Roman"/>
                <w:sz w:val="26"/>
                <w:szCs w:val="26"/>
              </w:rPr>
            </w:pPr>
            <w:r>
              <w:rPr>
                <w:rFonts w:ascii="Times New Roman" w:hAnsi="Times New Roman"/>
                <w:sz w:val="26"/>
                <w:szCs w:val="26"/>
              </w:rPr>
              <w:t>01/01/2025</w:t>
            </w:r>
          </w:p>
        </w:tc>
      </w:tr>
      <w:tr w:rsidR="00C47E09" w:rsidRPr="004063FA" w14:paraId="5FD566AA" w14:textId="77777777" w:rsidTr="00107E45">
        <w:tc>
          <w:tcPr>
            <w:tcW w:w="846" w:type="dxa"/>
            <w:shd w:val="clear" w:color="auto" w:fill="auto"/>
          </w:tcPr>
          <w:p w14:paraId="5721D613" w14:textId="77777777" w:rsidR="00C47E09" w:rsidRPr="00107E45" w:rsidRDefault="00C47E09" w:rsidP="00107E45">
            <w:pPr>
              <w:pStyle w:val="ListParagraph"/>
              <w:numPr>
                <w:ilvl w:val="0"/>
                <w:numId w:val="6"/>
              </w:numPr>
              <w:spacing w:before="120"/>
              <w:rPr>
                <w:sz w:val="26"/>
                <w:szCs w:val="26"/>
              </w:rPr>
            </w:pPr>
          </w:p>
        </w:tc>
        <w:tc>
          <w:tcPr>
            <w:tcW w:w="2806" w:type="dxa"/>
            <w:shd w:val="clear" w:color="auto" w:fill="auto"/>
          </w:tcPr>
          <w:p w14:paraId="481E8532" w14:textId="39C71D8C" w:rsidR="00C47E09" w:rsidRDefault="00C47E09" w:rsidP="009F09EE">
            <w:pPr>
              <w:spacing w:before="120"/>
              <w:jc w:val="both"/>
              <w:rPr>
                <w:rFonts w:ascii="Times New Roman" w:hAnsi="Times New Roman"/>
                <w:sz w:val="26"/>
                <w:szCs w:val="26"/>
              </w:rPr>
            </w:pPr>
            <w:r>
              <w:rPr>
                <w:rFonts w:ascii="Times New Roman" w:hAnsi="Times New Roman"/>
                <w:sz w:val="26"/>
                <w:szCs w:val="26"/>
              </w:rPr>
              <w:t>Thông tư số 39/2024/TT-BYT</w:t>
            </w:r>
          </w:p>
        </w:tc>
        <w:tc>
          <w:tcPr>
            <w:tcW w:w="4253" w:type="dxa"/>
            <w:shd w:val="clear" w:color="auto" w:fill="auto"/>
          </w:tcPr>
          <w:p w14:paraId="55E8B763" w14:textId="3004635F" w:rsidR="00C47E09" w:rsidRPr="00F01FDF" w:rsidRDefault="00C47E09" w:rsidP="009F09EE">
            <w:pPr>
              <w:tabs>
                <w:tab w:val="left" w:pos="851"/>
                <w:tab w:val="left" w:pos="900"/>
              </w:tabs>
              <w:spacing w:before="120"/>
              <w:jc w:val="both"/>
              <w:rPr>
                <w:rFonts w:ascii="Times New Roman" w:hAnsi="Times New Roman"/>
                <w:sz w:val="26"/>
                <w:szCs w:val="26"/>
              </w:rPr>
            </w:pPr>
            <w:r w:rsidRPr="004063FA">
              <w:rPr>
                <w:rFonts w:ascii="Times New Roman" w:hAnsi="Times New Roman"/>
                <w:sz w:val="26"/>
                <w:szCs w:val="26"/>
              </w:rPr>
              <w:t xml:space="preserve">Thông tư số </w:t>
            </w:r>
            <w:r>
              <w:rPr>
                <w:rFonts w:ascii="Times New Roman" w:hAnsi="Times New Roman"/>
                <w:sz w:val="26"/>
                <w:szCs w:val="26"/>
              </w:rPr>
              <w:t>39/</w:t>
            </w:r>
            <w:r w:rsidRPr="004063FA">
              <w:rPr>
                <w:rFonts w:ascii="Times New Roman" w:hAnsi="Times New Roman"/>
                <w:sz w:val="26"/>
                <w:szCs w:val="26"/>
              </w:rPr>
              <w:t>202</w:t>
            </w:r>
            <w:r>
              <w:rPr>
                <w:rFonts w:ascii="Times New Roman" w:hAnsi="Times New Roman"/>
                <w:sz w:val="26"/>
                <w:szCs w:val="26"/>
              </w:rPr>
              <w:t>4</w:t>
            </w:r>
            <w:r w:rsidRPr="004063FA">
              <w:rPr>
                <w:rFonts w:ascii="Times New Roman" w:hAnsi="Times New Roman"/>
                <w:sz w:val="26"/>
                <w:szCs w:val="26"/>
              </w:rPr>
              <w:t xml:space="preserve">/TT-BYT ngày </w:t>
            </w:r>
            <w:r>
              <w:rPr>
                <w:rFonts w:ascii="Times New Roman" w:hAnsi="Times New Roman"/>
                <w:sz w:val="26"/>
                <w:szCs w:val="26"/>
              </w:rPr>
              <w:t>17</w:t>
            </w:r>
            <w:r w:rsidRPr="004063FA">
              <w:rPr>
                <w:rFonts w:ascii="Times New Roman" w:hAnsi="Times New Roman"/>
                <w:sz w:val="26"/>
                <w:szCs w:val="26"/>
              </w:rPr>
              <w:t>/</w:t>
            </w:r>
            <w:r>
              <w:rPr>
                <w:rFonts w:ascii="Times New Roman" w:hAnsi="Times New Roman"/>
                <w:sz w:val="26"/>
                <w:szCs w:val="26"/>
              </w:rPr>
              <w:t>11</w:t>
            </w:r>
            <w:r w:rsidRPr="004063FA">
              <w:rPr>
                <w:rFonts w:ascii="Times New Roman" w:hAnsi="Times New Roman"/>
                <w:sz w:val="26"/>
                <w:szCs w:val="26"/>
              </w:rPr>
              <w:t>/202</w:t>
            </w:r>
            <w:r>
              <w:rPr>
                <w:rFonts w:ascii="Times New Roman" w:hAnsi="Times New Roman"/>
                <w:sz w:val="26"/>
                <w:szCs w:val="26"/>
              </w:rPr>
              <w:t>4</w:t>
            </w:r>
            <w:r w:rsidRPr="004063FA">
              <w:rPr>
                <w:rFonts w:ascii="Times New Roman" w:hAnsi="Times New Roman"/>
                <w:sz w:val="26"/>
                <w:szCs w:val="26"/>
              </w:rPr>
              <w:t xml:space="preserve"> của Bộ trưởng Bộ Y tế sửa đổi, bổ sung một số điều của Thông tư số 35/2016/TT-BYT ngày 28/9/2016 của Bộ trưởng Bộ Y tế ban hành danh mục và tỷ lệ, điều kiện thanh toán đối với dịch vụ kỹ thuật y tế thuộc phạm vi được hưởng của người tham gia BHYT.</w:t>
            </w:r>
          </w:p>
        </w:tc>
        <w:tc>
          <w:tcPr>
            <w:tcW w:w="2125" w:type="dxa"/>
            <w:shd w:val="clear" w:color="auto" w:fill="auto"/>
          </w:tcPr>
          <w:p w14:paraId="5BD04434" w14:textId="26C55515" w:rsidR="00C47E09" w:rsidRDefault="00C47E09" w:rsidP="00F01FDF">
            <w:pPr>
              <w:spacing w:before="120"/>
              <w:jc w:val="center"/>
              <w:rPr>
                <w:rFonts w:ascii="Times New Roman" w:hAnsi="Times New Roman"/>
                <w:sz w:val="26"/>
                <w:szCs w:val="26"/>
              </w:rPr>
            </w:pPr>
            <w:r>
              <w:rPr>
                <w:rFonts w:ascii="Times New Roman" w:hAnsi="Times New Roman"/>
                <w:sz w:val="26"/>
                <w:szCs w:val="26"/>
              </w:rPr>
              <w:t>01/01/2025</w:t>
            </w:r>
          </w:p>
        </w:tc>
      </w:tr>
    </w:tbl>
    <w:p w14:paraId="443D1F81" w14:textId="77777777" w:rsidR="00946630" w:rsidRPr="00CA3BDE" w:rsidRDefault="00946630" w:rsidP="00CA3BDE">
      <w:pPr>
        <w:spacing w:before="60" w:line="247" w:lineRule="auto"/>
        <w:jc w:val="both"/>
        <w:rPr>
          <w:rFonts w:ascii="Times New Roman" w:hAnsi="Times New Roman"/>
          <w:spacing w:val="-2"/>
          <w:lang w:val="vi-VN"/>
        </w:rPr>
      </w:pPr>
    </w:p>
    <w:sectPr w:rsidR="00946630" w:rsidRPr="00CA3BDE" w:rsidSect="009710FB">
      <w:headerReference w:type="default" r:id="rId10"/>
      <w:footerReference w:type="even" r:id="rId11"/>
      <w:footerReference w:type="default" r:id="rId12"/>
      <w:pgSz w:w="11909" w:h="16834" w:code="9"/>
      <w:pgMar w:top="1134" w:right="1134" w:bottom="1134" w:left="1701"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E9FF4" w14:textId="77777777" w:rsidR="00430C9A" w:rsidRDefault="00430C9A">
      <w:r>
        <w:separator/>
      </w:r>
    </w:p>
  </w:endnote>
  <w:endnote w:type="continuationSeparator" w:id="0">
    <w:p w14:paraId="2A8F285C" w14:textId="77777777" w:rsidR="00430C9A" w:rsidRDefault="0043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Yu Gothic UI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F72C" w14:textId="77777777" w:rsidR="00A46618" w:rsidRDefault="00A46618" w:rsidP="0054067A">
    <w:pPr>
      <w:pStyle w:val="Footer"/>
      <w:framePr w:wrap="around" w:vAnchor="text" w:hAnchor="margin" w:xAlign="center" w:y="1"/>
      <w:spacing w:before="240"/>
      <w:rPr>
        <w:rStyle w:val="PageNumber"/>
      </w:rPr>
    </w:pPr>
    <w:r>
      <w:rPr>
        <w:rStyle w:val="PageNumber"/>
      </w:rPr>
      <w:fldChar w:fldCharType="begin"/>
    </w:r>
    <w:r>
      <w:rPr>
        <w:rStyle w:val="PageNumber"/>
      </w:rPr>
      <w:instrText xml:space="preserve">PAGE  </w:instrText>
    </w:r>
    <w:r>
      <w:rPr>
        <w:rStyle w:val="PageNumber"/>
      </w:rPr>
      <w:fldChar w:fldCharType="end"/>
    </w:r>
  </w:p>
  <w:p w14:paraId="7CA02F25" w14:textId="77777777" w:rsidR="00A46618" w:rsidRDefault="00A46618" w:rsidP="0054067A">
    <w:pPr>
      <w:pStyle w:val="Footer"/>
      <w:spacing w:befor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C89E1" w14:textId="77777777" w:rsidR="00A46618" w:rsidRDefault="00A46618" w:rsidP="0054067A">
    <w:pPr>
      <w:pStyle w:val="Footer"/>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510E2" w14:textId="77777777" w:rsidR="00430C9A" w:rsidRDefault="00430C9A">
      <w:r>
        <w:separator/>
      </w:r>
    </w:p>
  </w:footnote>
  <w:footnote w:type="continuationSeparator" w:id="0">
    <w:p w14:paraId="2D6C0177" w14:textId="77777777" w:rsidR="00430C9A" w:rsidRDefault="00430C9A">
      <w:r>
        <w:continuationSeparator/>
      </w:r>
    </w:p>
  </w:footnote>
  <w:footnote w:id="1">
    <w:p w14:paraId="52FA8B0D" w14:textId="77777777" w:rsidR="004F782B" w:rsidRPr="00E36A3C" w:rsidRDefault="004F782B" w:rsidP="004F782B">
      <w:pPr>
        <w:shd w:val="clear" w:color="auto" w:fill="FFFFFF"/>
        <w:jc w:val="both"/>
        <w:rPr>
          <w:rFonts w:ascii="Times New Roman" w:hAnsi="Times New Roman"/>
          <w:iCs/>
          <w:sz w:val="20"/>
          <w:szCs w:val="20"/>
          <w:lang w:val="sv-SE"/>
        </w:rPr>
      </w:pPr>
      <w:r w:rsidRPr="00E36A3C">
        <w:rPr>
          <w:rStyle w:val="FootnoteReference"/>
          <w:rFonts w:ascii="Times New Roman" w:hAnsi="Times New Roman"/>
          <w:iCs/>
        </w:rPr>
        <w:footnoteRef/>
      </w:r>
      <w:r w:rsidRPr="00E36A3C">
        <w:rPr>
          <w:rFonts w:ascii="Times New Roman" w:hAnsi="Times New Roman"/>
          <w:iCs/>
          <w:sz w:val="20"/>
          <w:szCs w:val="20"/>
          <w:lang w:val="vi-VN"/>
        </w:rPr>
        <w:t>Thông tư số 35/2016/TT-BYT</w:t>
      </w:r>
      <w:r w:rsidRPr="00E36A3C">
        <w:rPr>
          <w:rFonts w:ascii="Times New Roman" w:hAnsi="Times New Roman"/>
          <w:iCs/>
          <w:sz w:val="20"/>
          <w:szCs w:val="20"/>
          <w:lang w:val="sv-SE"/>
        </w:rPr>
        <w:t xml:space="preserve"> quy định điều kiện được thanh toán theo chế độ BHYT của các dịch vụ kỹ thuật, đó là: (i) Được cấp có thẩm quyền phê duyệt thực hiện tại cơ sở KCB; (ii) Được thực hiện theo quy trình chuyên môn do cấp có thẩm quyền phê duyệt; (iii) Được cấp có thẩm quyền phê duyệt giá </w:t>
      </w:r>
      <w:r w:rsidRPr="00E36A3C">
        <w:rPr>
          <w:rFonts w:ascii="Times New Roman" w:hAnsi="Times New Roman"/>
          <w:iCs/>
          <w:sz w:val="20"/>
          <w:szCs w:val="20"/>
          <w:lang w:val="vi-VN"/>
        </w:rPr>
        <w:t xml:space="preserve">dịch vụ </w:t>
      </w:r>
      <w:r w:rsidRPr="00E36A3C">
        <w:rPr>
          <w:rFonts w:ascii="Times New Roman" w:hAnsi="Times New Roman"/>
          <w:iCs/>
          <w:sz w:val="20"/>
          <w:szCs w:val="20"/>
          <w:lang w:val="sv-SE"/>
        </w:rPr>
        <w:t>KCB BHYT.</w:t>
      </w:r>
    </w:p>
  </w:footnote>
  <w:footnote w:id="2">
    <w:p w14:paraId="7A1A3733" w14:textId="77777777" w:rsidR="004F782B" w:rsidRPr="00AC7746" w:rsidRDefault="004F782B" w:rsidP="004F782B">
      <w:pPr>
        <w:pStyle w:val="FootnoteText"/>
        <w:rPr>
          <w:lang w:val="sv-SE"/>
        </w:rPr>
      </w:pPr>
      <w:r w:rsidRPr="00022C4F">
        <w:rPr>
          <w:rStyle w:val="FootnoteReference"/>
        </w:rPr>
        <w:footnoteRef/>
      </w:r>
      <w:r w:rsidRPr="00022C4F">
        <w:t xml:space="preserve"> </w:t>
      </w:r>
      <w:r w:rsidRPr="00022C4F">
        <w:rPr>
          <w:spacing w:val="3"/>
          <w:shd w:val="clear" w:color="auto" w:fill="FFFFFF"/>
        </w:rPr>
        <w:t xml:space="preserve">Thông tư số 05/2015/TT-BYT cũng đã </w:t>
      </w:r>
      <w:r w:rsidRPr="00022C4F">
        <w:rPr>
          <w:lang w:val="sv-SE"/>
        </w:rPr>
        <w:t>được sửa đổi, bổ sung tại Thông tư số </w:t>
      </w:r>
      <w:hyperlink r:id="rId1" w:tgtFrame="_blank" w:tooltip="Thông tư 50/2017/TT-BYT" w:history="1">
        <w:r w:rsidRPr="00022C4F">
          <w:rPr>
            <w:rStyle w:val="Hyperlink"/>
            <w:lang w:val="sv-SE"/>
          </w:rPr>
          <w:t>50/2017/TT-BYT</w:t>
        </w:r>
      </w:hyperlink>
      <w:r w:rsidRPr="00022C4F">
        <w:rPr>
          <w:lang w:val="sv-SE"/>
        </w:rPr>
        <w:t>, Thông tư số </w:t>
      </w:r>
      <w:hyperlink r:id="rId2" w:tgtFrame="_blank" w:tooltip="Thông tư 27/2020/TT-BYT" w:history="1">
        <w:r w:rsidRPr="00022C4F">
          <w:rPr>
            <w:rStyle w:val="Hyperlink"/>
            <w:lang w:val="sv-SE"/>
          </w:rPr>
          <w:t>27/2020/TT-BYT</w:t>
        </w:r>
      </w:hyperlink>
      <w:r w:rsidRPr="00022C4F">
        <w:t>.</w:t>
      </w:r>
    </w:p>
  </w:footnote>
  <w:footnote w:id="3">
    <w:p w14:paraId="5AC49E3B" w14:textId="77777777" w:rsidR="004F782B" w:rsidRPr="00AC7746" w:rsidRDefault="004F782B" w:rsidP="004F782B">
      <w:pPr>
        <w:pStyle w:val="FootnoteText"/>
        <w:rPr>
          <w:i/>
          <w:lang w:val="sv-SE"/>
        </w:rPr>
      </w:pPr>
      <w:r w:rsidRPr="00243DCC">
        <w:rPr>
          <w:rStyle w:val="FootnoteReference"/>
          <w:i/>
        </w:rPr>
        <w:footnoteRef/>
      </w:r>
      <w:r w:rsidRPr="00243DCC">
        <w:rPr>
          <w:i/>
        </w:rPr>
        <w:t xml:space="preserve"> Khoản 1 Điều 18 Thông tư liên tịch số 41/2014/TTLT-BYT-BTC</w:t>
      </w:r>
      <w:r w:rsidRPr="00AC7746">
        <w:rPr>
          <w:i/>
          <w:lang w:val="sv-SE"/>
        </w:rPr>
        <w:t xml:space="preserve"> </w:t>
      </w:r>
      <w:r w:rsidRPr="00243DCC">
        <w:rPr>
          <w:i/>
          <w:lang w:val="sq-AL"/>
        </w:rPr>
        <w:t>ngày 24/11/2014</w:t>
      </w:r>
      <w:r>
        <w:rPr>
          <w:i/>
          <w:lang w:val="sq-AL"/>
        </w:rPr>
        <w:t xml:space="preserve"> và </w:t>
      </w:r>
      <w:r w:rsidRPr="00243DCC">
        <w:rPr>
          <w:i/>
          <w:iCs/>
          <w:lang w:val="sq-AL"/>
        </w:rPr>
        <w:t>Nghị định số 146/2018/NĐ-CP ngày 17/10/2018 của Chính phủ quy định chi tiết và hướng dẫn biện pháp thi hành một số điều của Luật BHYT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1683089"/>
      <w:docPartObj>
        <w:docPartGallery w:val="Page Numbers (Top of Page)"/>
        <w:docPartUnique/>
      </w:docPartObj>
    </w:sdtPr>
    <w:sdtEndPr>
      <w:rPr>
        <w:noProof/>
      </w:rPr>
    </w:sdtEndPr>
    <w:sdtContent>
      <w:p w14:paraId="5C2A1D97" w14:textId="5334395C" w:rsidR="00A46618" w:rsidRDefault="00A46618" w:rsidP="0054067A">
        <w:pPr>
          <w:pStyle w:val="Header"/>
          <w:spacing w:before="240"/>
          <w:jc w:val="center"/>
        </w:pPr>
        <w:r>
          <w:fldChar w:fldCharType="begin"/>
        </w:r>
        <w:r>
          <w:instrText xml:space="preserve"> PAGE   \* MERGEFORMAT </w:instrText>
        </w:r>
        <w:r>
          <w:fldChar w:fldCharType="separate"/>
        </w:r>
        <w:r w:rsidR="00AA59B9">
          <w:rPr>
            <w:noProof/>
          </w:rPr>
          <w:t>20</w:t>
        </w:r>
        <w:r>
          <w:rPr>
            <w:noProof/>
          </w:rPr>
          <w:fldChar w:fldCharType="end"/>
        </w:r>
      </w:p>
    </w:sdtContent>
  </w:sdt>
  <w:p w14:paraId="56BE15D3" w14:textId="77777777" w:rsidR="00A46618" w:rsidRDefault="00A46618" w:rsidP="0054067A">
    <w:pPr>
      <w:pStyle w:val="Header"/>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D0389"/>
    <w:multiLevelType w:val="hybridMultilevel"/>
    <w:tmpl w:val="A0E274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A743A8"/>
    <w:multiLevelType w:val="hybridMultilevel"/>
    <w:tmpl w:val="C8D06CDA"/>
    <w:lvl w:ilvl="0" w:tplc="E79A838A">
      <w:start w:val="5"/>
      <w:numFmt w:val="bullet"/>
      <w:lvlText w:val="-"/>
      <w:lvlJc w:val="left"/>
      <w:pPr>
        <w:ind w:left="1211" w:hanging="360"/>
      </w:pPr>
      <w:rPr>
        <w:rFonts w:ascii="Times New Roman" w:eastAsia="Calibri" w:hAnsi="Times New Roman" w:cs="Times New Roman"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 w15:restartNumberingAfterBreak="0">
    <w:nsid w:val="0F3819E6"/>
    <w:multiLevelType w:val="hybridMultilevel"/>
    <w:tmpl w:val="A214531C"/>
    <w:lvl w:ilvl="0" w:tplc="E1040A94">
      <w:start w:val="2"/>
      <w:numFmt w:val="bullet"/>
      <w:lvlText w:val="-"/>
      <w:lvlJc w:val="left"/>
      <w:pPr>
        <w:tabs>
          <w:tab w:val="num" w:pos="567"/>
        </w:tabs>
        <w:ind w:left="0" w:firstLine="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963258"/>
    <w:multiLevelType w:val="hybridMultilevel"/>
    <w:tmpl w:val="6BDC7308"/>
    <w:lvl w:ilvl="0" w:tplc="5E52F57E">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2D931E0D"/>
    <w:multiLevelType w:val="hybridMultilevel"/>
    <w:tmpl w:val="3912C506"/>
    <w:lvl w:ilvl="0" w:tplc="5E52F5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361C59"/>
    <w:multiLevelType w:val="hybridMultilevel"/>
    <w:tmpl w:val="55284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9202139">
    <w:abstractNumId w:val="0"/>
  </w:num>
  <w:num w:numId="2" w16cid:durableId="1630014658">
    <w:abstractNumId w:val="2"/>
  </w:num>
  <w:num w:numId="3" w16cid:durableId="1607613463">
    <w:abstractNumId w:val="3"/>
  </w:num>
  <w:num w:numId="4" w16cid:durableId="104202430">
    <w:abstractNumId w:val="4"/>
  </w:num>
  <w:num w:numId="5" w16cid:durableId="1584141470">
    <w:abstractNumId w:val="1"/>
  </w:num>
  <w:num w:numId="6" w16cid:durableId="20677549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862"/>
    <w:rsid w:val="00000A0D"/>
    <w:rsid w:val="00002A29"/>
    <w:rsid w:val="00003680"/>
    <w:rsid w:val="00006F74"/>
    <w:rsid w:val="00014255"/>
    <w:rsid w:val="00014916"/>
    <w:rsid w:val="00017449"/>
    <w:rsid w:val="00017560"/>
    <w:rsid w:val="00020AE6"/>
    <w:rsid w:val="000216DF"/>
    <w:rsid w:val="00021C29"/>
    <w:rsid w:val="00022C4F"/>
    <w:rsid w:val="00023FEE"/>
    <w:rsid w:val="00034811"/>
    <w:rsid w:val="00054B58"/>
    <w:rsid w:val="0005766E"/>
    <w:rsid w:val="000613F4"/>
    <w:rsid w:val="000631F3"/>
    <w:rsid w:val="00073741"/>
    <w:rsid w:val="000810E3"/>
    <w:rsid w:val="00084110"/>
    <w:rsid w:val="0008567B"/>
    <w:rsid w:val="0009060F"/>
    <w:rsid w:val="000908B8"/>
    <w:rsid w:val="000B08D3"/>
    <w:rsid w:val="000B5AA1"/>
    <w:rsid w:val="000B7669"/>
    <w:rsid w:val="000C0F81"/>
    <w:rsid w:val="000C5300"/>
    <w:rsid w:val="000D0FD3"/>
    <w:rsid w:val="000D587C"/>
    <w:rsid w:val="000E2FC2"/>
    <w:rsid w:val="000E41D2"/>
    <w:rsid w:val="000F1B5B"/>
    <w:rsid w:val="000F2196"/>
    <w:rsid w:val="000F3E65"/>
    <w:rsid w:val="000F4794"/>
    <w:rsid w:val="000F6739"/>
    <w:rsid w:val="000F77AB"/>
    <w:rsid w:val="000F7E7E"/>
    <w:rsid w:val="00100589"/>
    <w:rsid w:val="0010479D"/>
    <w:rsid w:val="00107E45"/>
    <w:rsid w:val="00111ACE"/>
    <w:rsid w:val="00111D4D"/>
    <w:rsid w:val="001154F2"/>
    <w:rsid w:val="001161AF"/>
    <w:rsid w:val="001171A8"/>
    <w:rsid w:val="00117695"/>
    <w:rsid w:val="00120F1A"/>
    <w:rsid w:val="00121BFB"/>
    <w:rsid w:val="00121F24"/>
    <w:rsid w:val="001224FF"/>
    <w:rsid w:val="001228DC"/>
    <w:rsid w:val="00130C1A"/>
    <w:rsid w:val="0013614B"/>
    <w:rsid w:val="0014042F"/>
    <w:rsid w:val="00142669"/>
    <w:rsid w:val="00142AF9"/>
    <w:rsid w:val="001439D6"/>
    <w:rsid w:val="00143DC5"/>
    <w:rsid w:val="001454EE"/>
    <w:rsid w:val="001461C9"/>
    <w:rsid w:val="001508AA"/>
    <w:rsid w:val="001529F7"/>
    <w:rsid w:val="00153E3A"/>
    <w:rsid w:val="00155574"/>
    <w:rsid w:val="00155EA4"/>
    <w:rsid w:val="00156F25"/>
    <w:rsid w:val="00166F37"/>
    <w:rsid w:val="00170B5D"/>
    <w:rsid w:val="00174EB6"/>
    <w:rsid w:val="00176E6C"/>
    <w:rsid w:val="00180420"/>
    <w:rsid w:val="00186E0E"/>
    <w:rsid w:val="00192A0A"/>
    <w:rsid w:val="00193B94"/>
    <w:rsid w:val="00193DB2"/>
    <w:rsid w:val="0019724C"/>
    <w:rsid w:val="001A67D8"/>
    <w:rsid w:val="001A722A"/>
    <w:rsid w:val="001B150F"/>
    <w:rsid w:val="001B1A08"/>
    <w:rsid w:val="001B400D"/>
    <w:rsid w:val="001B4B89"/>
    <w:rsid w:val="001B5B7C"/>
    <w:rsid w:val="001B68FF"/>
    <w:rsid w:val="001B6A27"/>
    <w:rsid w:val="001B72AA"/>
    <w:rsid w:val="001C09C2"/>
    <w:rsid w:val="001C15EF"/>
    <w:rsid w:val="001C4669"/>
    <w:rsid w:val="001C4950"/>
    <w:rsid w:val="001C5A00"/>
    <w:rsid w:val="001D10E6"/>
    <w:rsid w:val="001E0B27"/>
    <w:rsid w:val="001E5D41"/>
    <w:rsid w:val="001E5E90"/>
    <w:rsid w:val="001E63A5"/>
    <w:rsid w:val="001E6429"/>
    <w:rsid w:val="001F5243"/>
    <w:rsid w:val="001F634E"/>
    <w:rsid w:val="002027D5"/>
    <w:rsid w:val="00206143"/>
    <w:rsid w:val="002104BD"/>
    <w:rsid w:val="00211C20"/>
    <w:rsid w:val="002204D1"/>
    <w:rsid w:val="0022416C"/>
    <w:rsid w:val="00230F8A"/>
    <w:rsid w:val="00231E42"/>
    <w:rsid w:val="00237CE1"/>
    <w:rsid w:val="00241EB0"/>
    <w:rsid w:val="0024345F"/>
    <w:rsid w:val="002501C1"/>
    <w:rsid w:val="00250BEF"/>
    <w:rsid w:val="00251127"/>
    <w:rsid w:val="002511F0"/>
    <w:rsid w:val="0025235B"/>
    <w:rsid w:val="00253CB5"/>
    <w:rsid w:val="002548C2"/>
    <w:rsid w:val="00254AC3"/>
    <w:rsid w:val="00254FC9"/>
    <w:rsid w:val="0025569D"/>
    <w:rsid w:val="00256F21"/>
    <w:rsid w:val="00261227"/>
    <w:rsid w:val="002625C8"/>
    <w:rsid w:val="00262E46"/>
    <w:rsid w:val="00262FE8"/>
    <w:rsid w:val="00267721"/>
    <w:rsid w:val="002718E3"/>
    <w:rsid w:val="002811A7"/>
    <w:rsid w:val="0029412A"/>
    <w:rsid w:val="00296B71"/>
    <w:rsid w:val="002A01BC"/>
    <w:rsid w:val="002A135D"/>
    <w:rsid w:val="002A3E1C"/>
    <w:rsid w:val="002A4440"/>
    <w:rsid w:val="002B170D"/>
    <w:rsid w:val="002B196C"/>
    <w:rsid w:val="002B3401"/>
    <w:rsid w:val="002C39E8"/>
    <w:rsid w:val="002D2EC6"/>
    <w:rsid w:val="002D708B"/>
    <w:rsid w:val="002E4262"/>
    <w:rsid w:val="002F3E0A"/>
    <w:rsid w:val="002F4D54"/>
    <w:rsid w:val="002F73D9"/>
    <w:rsid w:val="0030144C"/>
    <w:rsid w:val="00301560"/>
    <w:rsid w:val="00304138"/>
    <w:rsid w:val="003045A7"/>
    <w:rsid w:val="003051ED"/>
    <w:rsid w:val="00315579"/>
    <w:rsid w:val="00316D49"/>
    <w:rsid w:val="0032762D"/>
    <w:rsid w:val="003434CA"/>
    <w:rsid w:val="00343EFA"/>
    <w:rsid w:val="00345A7E"/>
    <w:rsid w:val="00346862"/>
    <w:rsid w:val="00346D11"/>
    <w:rsid w:val="00346F03"/>
    <w:rsid w:val="00355BAB"/>
    <w:rsid w:val="00356F76"/>
    <w:rsid w:val="00361740"/>
    <w:rsid w:val="0036215A"/>
    <w:rsid w:val="00363A7B"/>
    <w:rsid w:val="00363D39"/>
    <w:rsid w:val="003646D7"/>
    <w:rsid w:val="00366245"/>
    <w:rsid w:val="003677DE"/>
    <w:rsid w:val="0037206C"/>
    <w:rsid w:val="00376E0A"/>
    <w:rsid w:val="0037786B"/>
    <w:rsid w:val="003873F6"/>
    <w:rsid w:val="00390EED"/>
    <w:rsid w:val="0039382A"/>
    <w:rsid w:val="003944E5"/>
    <w:rsid w:val="003951CF"/>
    <w:rsid w:val="00396AEE"/>
    <w:rsid w:val="003A051D"/>
    <w:rsid w:val="003A2E69"/>
    <w:rsid w:val="003A58E2"/>
    <w:rsid w:val="003B3244"/>
    <w:rsid w:val="003B5DB9"/>
    <w:rsid w:val="003B6EE7"/>
    <w:rsid w:val="003D33F6"/>
    <w:rsid w:val="003D7E11"/>
    <w:rsid w:val="003E3F6E"/>
    <w:rsid w:val="003E68E6"/>
    <w:rsid w:val="003E7126"/>
    <w:rsid w:val="003F2D37"/>
    <w:rsid w:val="003F4DE4"/>
    <w:rsid w:val="003F630A"/>
    <w:rsid w:val="00400B6C"/>
    <w:rsid w:val="0040428B"/>
    <w:rsid w:val="0040596A"/>
    <w:rsid w:val="004063FA"/>
    <w:rsid w:val="0041275A"/>
    <w:rsid w:val="004143BE"/>
    <w:rsid w:val="004143F7"/>
    <w:rsid w:val="004160C8"/>
    <w:rsid w:val="00416E3F"/>
    <w:rsid w:val="00417549"/>
    <w:rsid w:val="00420433"/>
    <w:rsid w:val="00420587"/>
    <w:rsid w:val="00422B43"/>
    <w:rsid w:val="00424A8F"/>
    <w:rsid w:val="00424E54"/>
    <w:rsid w:val="00425B07"/>
    <w:rsid w:val="00425E21"/>
    <w:rsid w:val="004300B8"/>
    <w:rsid w:val="00430C9A"/>
    <w:rsid w:val="004329C5"/>
    <w:rsid w:val="00433F1E"/>
    <w:rsid w:val="0043519B"/>
    <w:rsid w:val="004420B8"/>
    <w:rsid w:val="00444CE6"/>
    <w:rsid w:val="00453051"/>
    <w:rsid w:val="0046203D"/>
    <w:rsid w:val="004640B4"/>
    <w:rsid w:val="004641F6"/>
    <w:rsid w:val="004649DF"/>
    <w:rsid w:val="00471A01"/>
    <w:rsid w:val="004723FC"/>
    <w:rsid w:val="00475CCA"/>
    <w:rsid w:val="00476162"/>
    <w:rsid w:val="004817D6"/>
    <w:rsid w:val="00482993"/>
    <w:rsid w:val="004908F3"/>
    <w:rsid w:val="00491382"/>
    <w:rsid w:val="004926D7"/>
    <w:rsid w:val="00492BF5"/>
    <w:rsid w:val="004A40A1"/>
    <w:rsid w:val="004A4742"/>
    <w:rsid w:val="004B6C58"/>
    <w:rsid w:val="004B7B0E"/>
    <w:rsid w:val="004C4AF2"/>
    <w:rsid w:val="004C4C75"/>
    <w:rsid w:val="004C5023"/>
    <w:rsid w:val="004D051B"/>
    <w:rsid w:val="004D26D1"/>
    <w:rsid w:val="004D4016"/>
    <w:rsid w:val="004F4823"/>
    <w:rsid w:val="004F782B"/>
    <w:rsid w:val="00501446"/>
    <w:rsid w:val="00506362"/>
    <w:rsid w:val="00514B81"/>
    <w:rsid w:val="00523504"/>
    <w:rsid w:val="00524519"/>
    <w:rsid w:val="0052641F"/>
    <w:rsid w:val="00534A0B"/>
    <w:rsid w:val="00535DEF"/>
    <w:rsid w:val="0054067A"/>
    <w:rsid w:val="005466DC"/>
    <w:rsid w:val="00547B60"/>
    <w:rsid w:val="00556131"/>
    <w:rsid w:val="00563C40"/>
    <w:rsid w:val="00573974"/>
    <w:rsid w:val="0057414E"/>
    <w:rsid w:val="005764D4"/>
    <w:rsid w:val="00577644"/>
    <w:rsid w:val="00581747"/>
    <w:rsid w:val="00585E1D"/>
    <w:rsid w:val="00586BD4"/>
    <w:rsid w:val="00591744"/>
    <w:rsid w:val="005935C5"/>
    <w:rsid w:val="005938C3"/>
    <w:rsid w:val="005975AC"/>
    <w:rsid w:val="005A2D5E"/>
    <w:rsid w:val="005A4D12"/>
    <w:rsid w:val="005A56DE"/>
    <w:rsid w:val="005A6FB4"/>
    <w:rsid w:val="005A77E9"/>
    <w:rsid w:val="005B331A"/>
    <w:rsid w:val="005B6351"/>
    <w:rsid w:val="005B6A57"/>
    <w:rsid w:val="005C2C2D"/>
    <w:rsid w:val="005C2ED0"/>
    <w:rsid w:val="005C35E2"/>
    <w:rsid w:val="005C4BD1"/>
    <w:rsid w:val="005C59B0"/>
    <w:rsid w:val="005C7718"/>
    <w:rsid w:val="005D0B2E"/>
    <w:rsid w:val="005D132A"/>
    <w:rsid w:val="005D1B3D"/>
    <w:rsid w:val="005D2B7A"/>
    <w:rsid w:val="005D6A93"/>
    <w:rsid w:val="005E2233"/>
    <w:rsid w:val="005E39BE"/>
    <w:rsid w:val="005E52A2"/>
    <w:rsid w:val="005F1121"/>
    <w:rsid w:val="005F4E53"/>
    <w:rsid w:val="006053C1"/>
    <w:rsid w:val="00606E5F"/>
    <w:rsid w:val="0061052F"/>
    <w:rsid w:val="0061094E"/>
    <w:rsid w:val="00611598"/>
    <w:rsid w:val="0061255F"/>
    <w:rsid w:val="0061266B"/>
    <w:rsid w:val="0061564E"/>
    <w:rsid w:val="0061777B"/>
    <w:rsid w:val="00620BC5"/>
    <w:rsid w:val="00625B5F"/>
    <w:rsid w:val="00630619"/>
    <w:rsid w:val="006357F8"/>
    <w:rsid w:val="00640BFB"/>
    <w:rsid w:val="00643240"/>
    <w:rsid w:val="00643780"/>
    <w:rsid w:val="00644582"/>
    <w:rsid w:val="006445AE"/>
    <w:rsid w:val="006524C5"/>
    <w:rsid w:val="0065380B"/>
    <w:rsid w:val="00653AAD"/>
    <w:rsid w:val="00653D62"/>
    <w:rsid w:val="006559DD"/>
    <w:rsid w:val="00656135"/>
    <w:rsid w:val="00661AB4"/>
    <w:rsid w:val="00661E28"/>
    <w:rsid w:val="00662375"/>
    <w:rsid w:val="00670D3D"/>
    <w:rsid w:val="00673558"/>
    <w:rsid w:val="00680D4B"/>
    <w:rsid w:val="00681E26"/>
    <w:rsid w:val="00687E9B"/>
    <w:rsid w:val="00690D75"/>
    <w:rsid w:val="00697AF8"/>
    <w:rsid w:val="006B2FF0"/>
    <w:rsid w:val="006B368C"/>
    <w:rsid w:val="006B4013"/>
    <w:rsid w:val="006B606C"/>
    <w:rsid w:val="006B6D3E"/>
    <w:rsid w:val="006B7477"/>
    <w:rsid w:val="006C12DA"/>
    <w:rsid w:val="006C22C1"/>
    <w:rsid w:val="006C3204"/>
    <w:rsid w:val="006D0053"/>
    <w:rsid w:val="006D1C06"/>
    <w:rsid w:val="006E028B"/>
    <w:rsid w:val="006E6D8C"/>
    <w:rsid w:val="006F530D"/>
    <w:rsid w:val="00705771"/>
    <w:rsid w:val="00705DDD"/>
    <w:rsid w:val="007076CB"/>
    <w:rsid w:val="00710E65"/>
    <w:rsid w:val="007118BA"/>
    <w:rsid w:val="00724055"/>
    <w:rsid w:val="007349D1"/>
    <w:rsid w:val="00735608"/>
    <w:rsid w:val="00735986"/>
    <w:rsid w:val="0074103E"/>
    <w:rsid w:val="0074108E"/>
    <w:rsid w:val="00746E64"/>
    <w:rsid w:val="00747E59"/>
    <w:rsid w:val="00756900"/>
    <w:rsid w:val="00764373"/>
    <w:rsid w:val="007658E1"/>
    <w:rsid w:val="00766F28"/>
    <w:rsid w:val="00767213"/>
    <w:rsid w:val="00767B39"/>
    <w:rsid w:val="00771D88"/>
    <w:rsid w:val="00771E62"/>
    <w:rsid w:val="007745C9"/>
    <w:rsid w:val="00775DB7"/>
    <w:rsid w:val="0077730A"/>
    <w:rsid w:val="007778E6"/>
    <w:rsid w:val="00781AA9"/>
    <w:rsid w:val="0078247E"/>
    <w:rsid w:val="00783764"/>
    <w:rsid w:val="00785A8E"/>
    <w:rsid w:val="00786123"/>
    <w:rsid w:val="00790EB7"/>
    <w:rsid w:val="007925C5"/>
    <w:rsid w:val="007953DD"/>
    <w:rsid w:val="007A16D2"/>
    <w:rsid w:val="007A1862"/>
    <w:rsid w:val="007A561C"/>
    <w:rsid w:val="007C7656"/>
    <w:rsid w:val="007C7A63"/>
    <w:rsid w:val="007C7E60"/>
    <w:rsid w:val="007D537C"/>
    <w:rsid w:val="007D57A2"/>
    <w:rsid w:val="007E2339"/>
    <w:rsid w:val="007E6EB0"/>
    <w:rsid w:val="007E7312"/>
    <w:rsid w:val="007E7B8D"/>
    <w:rsid w:val="00801BEC"/>
    <w:rsid w:val="0080346B"/>
    <w:rsid w:val="00806A7D"/>
    <w:rsid w:val="00812408"/>
    <w:rsid w:val="00813151"/>
    <w:rsid w:val="0081391D"/>
    <w:rsid w:val="0081750E"/>
    <w:rsid w:val="008175CA"/>
    <w:rsid w:val="0082515B"/>
    <w:rsid w:val="00832245"/>
    <w:rsid w:val="00846BD7"/>
    <w:rsid w:val="0085000E"/>
    <w:rsid w:val="00850AAB"/>
    <w:rsid w:val="00852296"/>
    <w:rsid w:val="00853983"/>
    <w:rsid w:val="008567D7"/>
    <w:rsid w:val="00861303"/>
    <w:rsid w:val="00861A9B"/>
    <w:rsid w:val="00863327"/>
    <w:rsid w:val="008643A8"/>
    <w:rsid w:val="008662BE"/>
    <w:rsid w:val="00871050"/>
    <w:rsid w:val="008712BD"/>
    <w:rsid w:val="008734B2"/>
    <w:rsid w:val="00876B70"/>
    <w:rsid w:val="00876F74"/>
    <w:rsid w:val="00881C3C"/>
    <w:rsid w:val="00883A4F"/>
    <w:rsid w:val="008856FD"/>
    <w:rsid w:val="00885EF4"/>
    <w:rsid w:val="0089002E"/>
    <w:rsid w:val="008902F2"/>
    <w:rsid w:val="008978A5"/>
    <w:rsid w:val="008A0464"/>
    <w:rsid w:val="008A33B5"/>
    <w:rsid w:val="008B4B6F"/>
    <w:rsid w:val="008B5764"/>
    <w:rsid w:val="008B5AE1"/>
    <w:rsid w:val="008C0BBF"/>
    <w:rsid w:val="008C3312"/>
    <w:rsid w:val="008C69AC"/>
    <w:rsid w:val="008D3F8C"/>
    <w:rsid w:val="008E0F16"/>
    <w:rsid w:val="008F0CA6"/>
    <w:rsid w:val="008F123D"/>
    <w:rsid w:val="008F2FC1"/>
    <w:rsid w:val="008F3E41"/>
    <w:rsid w:val="0090386F"/>
    <w:rsid w:val="00907A27"/>
    <w:rsid w:val="009122C0"/>
    <w:rsid w:val="00912625"/>
    <w:rsid w:val="00914E09"/>
    <w:rsid w:val="00915BBD"/>
    <w:rsid w:val="00917195"/>
    <w:rsid w:val="009241D7"/>
    <w:rsid w:val="0092476B"/>
    <w:rsid w:val="00927ADE"/>
    <w:rsid w:val="00930215"/>
    <w:rsid w:val="00935CCA"/>
    <w:rsid w:val="009408A2"/>
    <w:rsid w:val="009414D6"/>
    <w:rsid w:val="00946630"/>
    <w:rsid w:val="00951214"/>
    <w:rsid w:val="00951D80"/>
    <w:rsid w:val="00960873"/>
    <w:rsid w:val="00963046"/>
    <w:rsid w:val="00963E70"/>
    <w:rsid w:val="009642CF"/>
    <w:rsid w:val="00966F1A"/>
    <w:rsid w:val="009710FB"/>
    <w:rsid w:val="00980030"/>
    <w:rsid w:val="00990ACF"/>
    <w:rsid w:val="009953DD"/>
    <w:rsid w:val="00995951"/>
    <w:rsid w:val="00997F0F"/>
    <w:rsid w:val="009A173F"/>
    <w:rsid w:val="009A1DD8"/>
    <w:rsid w:val="009A4538"/>
    <w:rsid w:val="009A7189"/>
    <w:rsid w:val="009A7332"/>
    <w:rsid w:val="009B660B"/>
    <w:rsid w:val="009B713C"/>
    <w:rsid w:val="009C2830"/>
    <w:rsid w:val="009C2D8B"/>
    <w:rsid w:val="009C4B36"/>
    <w:rsid w:val="009C62B6"/>
    <w:rsid w:val="009D2306"/>
    <w:rsid w:val="009D7937"/>
    <w:rsid w:val="009E1EA0"/>
    <w:rsid w:val="009E40B9"/>
    <w:rsid w:val="009E566C"/>
    <w:rsid w:val="009E5E0D"/>
    <w:rsid w:val="009F2587"/>
    <w:rsid w:val="009F258B"/>
    <w:rsid w:val="009F55B9"/>
    <w:rsid w:val="00A03C8C"/>
    <w:rsid w:val="00A21090"/>
    <w:rsid w:val="00A257CF"/>
    <w:rsid w:val="00A318EA"/>
    <w:rsid w:val="00A357B1"/>
    <w:rsid w:val="00A35A5B"/>
    <w:rsid w:val="00A425F1"/>
    <w:rsid w:val="00A42E61"/>
    <w:rsid w:val="00A46007"/>
    <w:rsid w:val="00A46618"/>
    <w:rsid w:val="00A467EC"/>
    <w:rsid w:val="00A46B19"/>
    <w:rsid w:val="00A47CAC"/>
    <w:rsid w:val="00A532F5"/>
    <w:rsid w:val="00A57F67"/>
    <w:rsid w:val="00A7332E"/>
    <w:rsid w:val="00A73E14"/>
    <w:rsid w:val="00A74BEB"/>
    <w:rsid w:val="00A74CA4"/>
    <w:rsid w:val="00A821F3"/>
    <w:rsid w:val="00A837CA"/>
    <w:rsid w:val="00A84D93"/>
    <w:rsid w:val="00A85AC5"/>
    <w:rsid w:val="00A863EE"/>
    <w:rsid w:val="00AA08BB"/>
    <w:rsid w:val="00AA0BE0"/>
    <w:rsid w:val="00AA236D"/>
    <w:rsid w:val="00AA3F22"/>
    <w:rsid w:val="00AA4CB6"/>
    <w:rsid w:val="00AA4EE0"/>
    <w:rsid w:val="00AA59B9"/>
    <w:rsid w:val="00AC05C1"/>
    <w:rsid w:val="00AC22D7"/>
    <w:rsid w:val="00AC636E"/>
    <w:rsid w:val="00AC7356"/>
    <w:rsid w:val="00AC7746"/>
    <w:rsid w:val="00AD17BB"/>
    <w:rsid w:val="00AD2278"/>
    <w:rsid w:val="00AD3AFD"/>
    <w:rsid w:val="00AD5722"/>
    <w:rsid w:val="00AD7650"/>
    <w:rsid w:val="00AE006A"/>
    <w:rsid w:val="00AE0669"/>
    <w:rsid w:val="00AF0CC0"/>
    <w:rsid w:val="00AF1CDB"/>
    <w:rsid w:val="00AF2BD4"/>
    <w:rsid w:val="00B03025"/>
    <w:rsid w:val="00B05B1A"/>
    <w:rsid w:val="00B10E0D"/>
    <w:rsid w:val="00B128EB"/>
    <w:rsid w:val="00B1627F"/>
    <w:rsid w:val="00B20AE3"/>
    <w:rsid w:val="00B3130B"/>
    <w:rsid w:val="00B37971"/>
    <w:rsid w:val="00B409AA"/>
    <w:rsid w:val="00B44DC0"/>
    <w:rsid w:val="00B45C73"/>
    <w:rsid w:val="00B50BA7"/>
    <w:rsid w:val="00B51283"/>
    <w:rsid w:val="00B55476"/>
    <w:rsid w:val="00B61D1A"/>
    <w:rsid w:val="00B727F8"/>
    <w:rsid w:val="00B77F7B"/>
    <w:rsid w:val="00B80C3A"/>
    <w:rsid w:val="00B83C01"/>
    <w:rsid w:val="00B87705"/>
    <w:rsid w:val="00B926CD"/>
    <w:rsid w:val="00B92F5C"/>
    <w:rsid w:val="00B930AA"/>
    <w:rsid w:val="00B94EFB"/>
    <w:rsid w:val="00B95532"/>
    <w:rsid w:val="00B97555"/>
    <w:rsid w:val="00BA3B07"/>
    <w:rsid w:val="00BA5A6D"/>
    <w:rsid w:val="00BA6010"/>
    <w:rsid w:val="00BB5669"/>
    <w:rsid w:val="00BB78D2"/>
    <w:rsid w:val="00BC29F2"/>
    <w:rsid w:val="00BC396A"/>
    <w:rsid w:val="00BC70AD"/>
    <w:rsid w:val="00BC771E"/>
    <w:rsid w:val="00BD07D4"/>
    <w:rsid w:val="00BD1486"/>
    <w:rsid w:val="00BD31C3"/>
    <w:rsid w:val="00BD7C32"/>
    <w:rsid w:val="00BE17C4"/>
    <w:rsid w:val="00BE1CA2"/>
    <w:rsid w:val="00BE4599"/>
    <w:rsid w:val="00BE4EB2"/>
    <w:rsid w:val="00BE6E43"/>
    <w:rsid w:val="00BF5E52"/>
    <w:rsid w:val="00C01E27"/>
    <w:rsid w:val="00C11590"/>
    <w:rsid w:val="00C13761"/>
    <w:rsid w:val="00C22E22"/>
    <w:rsid w:val="00C31146"/>
    <w:rsid w:val="00C317CE"/>
    <w:rsid w:val="00C32334"/>
    <w:rsid w:val="00C35C3F"/>
    <w:rsid w:val="00C466B4"/>
    <w:rsid w:val="00C4744F"/>
    <w:rsid w:val="00C47E09"/>
    <w:rsid w:val="00C5079B"/>
    <w:rsid w:val="00C50B09"/>
    <w:rsid w:val="00C53708"/>
    <w:rsid w:val="00C537EA"/>
    <w:rsid w:val="00C53805"/>
    <w:rsid w:val="00C64F2F"/>
    <w:rsid w:val="00C6751E"/>
    <w:rsid w:val="00C811B5"/>
    <w:rsid w:val="00C82E20"/>
    <w:rsid w:val="00C83340"/>
    <w:rsid w:val="00C87356"/>
    <w:rsid w:val="00C9050F"/>
    <w:rsid w:val="00C95F29"/>
    <w:rsid w:val="00CA3BDE"/>
    <w:rsid w:val="00CA3C87"/>
    <w:rsid w:val="00CA5AAE"/>
    <w:rsid w:val="00CA7ABA"/>
    <w:rsid w:val="00CB1B53"/>
    <w:rsid w:val="00CB462E"/>
    <w:rsid w:val="00CB7F0C"/>
    <w:rsid w:val="00CC209E"/>
    <w:rsid w:val="00CC3BF0"/>
    <w:rsid w:val="00CD1847"/>
    <w:rsid w:val="00CD2392"/>
    <w:rsid w:val="00CD7B4E"/>
    <w:rsid w:val="00CD7E00"/>
    <w:rsid w:val="00CE13AE"/>
    <w:rsid w:val="00CE687F"/>
    <w:rsid w:val="00CE7679"/>
    <w:rsid w:val="00CF2708"/>
    <w:rsid w:val="00CF6093"/>
    <w:rsid w:val="00CF6324"/>
    <w:rsid w:val="00D016EA"/>
    <w:rsid w:val="00D04C98"/>
    <w:rsid w:val="00D069E9"/>
    <w:rsid w:val="00D07633"/>
    <w:rsid w:val="00D15FB2"/>
    <w:rsid w:val="00D17A37"/>
    <w:rsid w:val="00D2124C"/>
    <w:rsid w:val="00D25D9D"/>
    <w:rsid w:val="00D27E34"/>
    <w:rsid w:val="00D27E85"/>
    <w:rsid w:val="00D3278B"/>
    <w:rsid w:val="00D364A0"/>
    <w:rsid w:val="00D3773B"/>
    <w:rsid w:val="00D44329"/>
    <w:rsid w:val="00D461B7"/>
    <w:rsid w:val="00D52B06"/>
    <w:rsid w:val="00D52F1B"/>
    <w:rsid w:val="00D54713"/>
    <w:rsid w:val="00D55A7C"/>
    <w:rsid w:val="00D56EC8"/>
    <w:rsid w:val="00D570B2"/>
    <w:rsid w:val="00D626E8"/>
    <w:rsid w:val="00D72C85"/>
    <w:rsid w:val="00D8693F"/>
    <w:rsid w:val="00D87958"/>
    <w:rsid w:val="00D9500B"/>
    <w:rsid w:val="00DA0538"/>
    <w:rsid w:val="00DA064E"/>
    <w:rsid w:val="00DA0E2C"/>
    <w:rsid w:val="00DA45D4"/>
    <w:rsid w:val="00DA5F2C"/>
    <w:rsid w:val="00DB6E83"/>
    <w:rsid w:val="00DB7D0D"/>
    <w:rsid w:val="00DC01DF"/>
    <w:rsid w:val="00DC479B"/>
    <w:rsid w:val="00DC64B7"/>
    <w:rsid w:val="00DC73C6"/>
    <w:rsid w:val="00DD08E0"/>
    <w:rsid w:val="00DD27DD"/>
    <w:rsid w:val="00DD347C"/>
    <w:rsid w:val="00DD39A8"/>
    <w:rsid w:val="00DE01CA"/>
    <w:rsid w:val="00DE09AE"/>
    <w:rsid w:val="00DE0A63"/>
    <w:rsid w:val="00DE16A7"/>
    <w:rsid w:val="00DE54FE"/>
    <w:rsid w:val="00DF2490"/>
    <w:rsid w:val="00DF6668"/>
    <w:rsid w:val="00E0141A"/>
    <w:rsid w:val="00E04D85"/>
    <w:rsid w:val="00E10121"/>
    <w:rsid w:val="00E104CD"/>
    <w:rsid w:val="00E17CBC"/>
    <w:rsid w:val="00E24B09"/>
    <w:rsid w:val="00E316A4"/>
    <w:rsid w:val="00E3508A"/>
    <w:rsid w:val="00E36A3C"/>
    <w:rsid w:val="00E40724"/>
    <w:rsid w:val="00E46C59"/>
    <w:rsid w:val="00E4750A"/>
    <w:rsid w:val="00E478F9"/>
    <w:rsid w:val="00E53D7A"/>
    <w:rsid w:val="00E541DC"/>
    <w:rsid w:val="00E551E8"/>
    <w:rsid w:val="00E5592B"/>
    <w:rsid w:val="00E56FFC"/>
    <w:rsid w:val="00E60B54"/>
    <w:rsid w:val="00E60DD6"/>
    <w:rsid w:val="00E63521"/>
    <w:rsid w:val="00E71C8E"/>
    <w:rsid w:val="00E72478"/>
    <w:rsid w:val="00E72839"/>
    <w:rsid w:val="00E74AA7"/>
    <w:rsid w:val="00E76B9E"/>
    <w:rsid w:val="00E853BD"/>
    <w:rsid w:val="00EB12FA"/>
    <w:rsid w:val="00EB1847"/>
    <w:rsid w:val="00EB19EF"/>
    <w:rsid w:val="00EB24FB"/>
    <w:rsid w:val="00EB65D3"/>
    <w:rsid w:val="00EB6E5E"/>
    <w:rsid w:val="00EC0ED5"/>
    <w:rsid w:val="00EC3DEC"/>
    <w:rsid w:val="00EC710D"/>
    <w:rsid w:val="00EE2399"/>
    <w:rsid w:val="00EE2A8D"/>
    <w:rsid w:val="00EE53F9"/>
    <w:rsid w:val="00EF432E"/>
    <w:rsid w:val="00EF4C96"/>
    <w:rsid w:val="00F01FDF"/>
    <w:rsid w:val="00F04E9C"/>
    <w:rsid w:val="00F0685F"/>
    <w:rsid w:val="00F06CD5"/>
    <w:rsid w:val="00F06FD5"/>
    <w:rsid w:val="00F0720E"/>
    <w:rsid w:val="00F1004A"/>
    <w:rsid w:val="00F103AC"/>
    <w:rsid w:val="00F13E59"/>
    <w:rsid w:val="00F14406"/>
    <w:rsid w:val="00F14CF9"/>
    <w:rsid w:val="00F26752"/>
    <w:rsid w:val="00F31546"/>
    <w:rsid w:val="00F328E8"/>
    <w:rsid w:val="00F34130"/>
    <w:rsid w:val="00F42E88"/>
    <w:rsid w:val="00F43AAD"/>
    <w:rsid w:val="00F448D3"/>
    <w:rsid w:val="00F524BC"/>
    <w:rsid w:val="00F52722"/>
    <w:rsid w:val="00F538E6"/>
    <w:rsid w:val="00F54A0E"/>
    <w:rsid w:val="00F54B76"/>
    <w:rsid w:val="00F72FEE"/>
    <w:rsid w:val="00F74C7C"/>
    <w:rsid w:val="00F76AA1"/>
    <w:rsid w:val="00F77E46"/>
    <w:rsid w:val="00F82F4A"/>
    <w:rsid w:val="00F83017"/>
    <w:rsid w:val="00F90D8A"/>
    <w:rsid w:val="00F91281"/>
    <w:rsid w:val="00F927E2"/>
    <w:rsid w:val="00F974B7"/>
    <w:rsid w:val="00F97BF3"/>
    <w:rsid w:val="00FA0A85"/>
    <w:rsid w:val="00FA1454"/>
    <w:rsid w:val="00FA2321"/>
    <w:rsid w:val="00FA31F5"/>
    <w:rsid w:val="00FA4AC2"/>
    <w:rsid w:val="00FA5C07"/>
    <w:rsid w:val="00FC193E"/>
    <w:rsid w:val="00FC3574"/>
    <w:rsid w:val="00FC5800"/>
    <w:rsid w:val="00FD0E37"/>
    <w:rsid w:val="00FD1043"/>
    <w:rsid w:val="00FD1D07"/>
    <w:rsid w:val="00FD4E5E"/>
    <w:rsid w:val="00FD5416"/>
    <w:rsid w:val="00FD6331"/>
    <w:rsid w:val="00FD63FA"/>
    <w:rsid w:val="00FD7B6D"/>
    <w:rsid w:val="00FE160A"/>
    <w:rsid w:val="00FE297E"/>
    <w:rsid w:val="00FF069A"/>
    <w:rsid w:val="00FF6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D180C"/>
  <w15:docId w15:val="{26BBE388-5349-49E5-9C69-880DE113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64A0"/>
    <w:rPr>
      <w:rFonts w:ascii=".VnTime" w:hAnsi=".VnTime"/>
      <w:sz w:val="28"/>
      <w:szCs w:val="28"/>
    </w:rPr>
  </w:style>
  <w:style w:type="paragraph" w:styleId="Heading1">
    <w:name w:val="heading 1"/>
    <w:basedOn w:val="Normal"/>
    <w:next w:val="Normal"/>
    <w:link w:val="Heading1Char"/>
    <w:qFormat/>
    <w:rsid w:val="00BF5E5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424A8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09AE"/>
    <w:pPr>
      <w:tabs>
        <w:tab w:val="center" w:pos="4320"/>
        <w:tab w:val="right" w:pos="8640"/>
      </w:tabs>
    </w:pPr>
  </w:style>
  <w:style w:type="character" w:styleId="PageNumber">
    <w:name w:val="page number"/>
    <w:basedOn w:val="DefaultParagraphFont"/>
    <w:rsid w:val="00DE09AE"/>
  </w:style>
  <w:style w:type="paragraph" w:styleId="BodyTextIndent">
    <w:name w:val="Body Text Indent"/>
    <w:basedOn w:val="Normal"/>
    <w:link w:val="BodyTextIndentChar"/>
    <w:rsid w:val="006C3204"/>
    <w:pPr>
      <w:ind w:left="360"/>
      <w:jc w:val="both"/>
    </w:pPr>
    <w:rPr>
      <w:iCs/>
      <w:sz w:val="24"/>
      <w:szCs w:val="20"/>
    </w:rPr>
  </w:style>
  <w:style w:type="paragraph" w:styleId="BodyText2">
    <w:name w:val="Body Text 2"/>
    <w:basedOn w:val="Normal"/>
    <w:link w:val="BodyText2Char"/>
    <w:rsid w:val="00FD1D07"/>
    <w:pPr>
      <w:spacing w:after="120" w:line="480" w:lineRule="auto"/>
    </w:pPr>
  </w:style>
  <w:style w:type="paragraph" w:customStyle="1" w:styleId="CharCharCharChar">
    <w:name w:val="Char Char Char Char"/>
    <w:basedOn w:val="Normal"/>
    <w:semiHidden/>
    <w:rsid w:val="00FD1D07"/>
    <w:pPr>
      <w:spacing w:after="160" w:line="240" w:lineRule="exact"/>
    </w:pPr>
    <w:rPr>
      <w:rFonts w:ascii="Arial" w:hAnsi="Arial"/>
      <w:sz w:val="22"/>
      <w:szCs w:val="22"/>
    </w:rPr>
  </w:style>
  <w:style w:type="paragraph" w:customStyle="1" w:styleId="CharCharCharChar0">
    <w:name w:val="Char Char Char Char"/>
    <w:basedOn w:val="Normal"/>
    <w:semiHidden/>
    <w:rsid w:val="00FD4E5E"/>
    <w:pPr>
      <w:spacing w:after="160" w:line="240" w:lineRule="exact"/>
    </w:pPr>
    <w:rPr>
      <w:rFonts w:ascii=".VnArial" w:eastAsia=".VnTime" w:hAnsi=".VnArial" w:cs=".VnArial"/>
      <w:sz w:val="22"/>
      <w:szCs w:val="22"/>
    </w:rPr>
  </w:style>
  <w:style w:type="character" w:customStyle="1" w:styleId="FooterChar">
    <w:name w:val="Footer Char"/>
    <w:basedOn w:val="DefaultParagraphFont"/>
    <w:link w:val="Footer"/>
    <w:uiPriority w:val="99"/>
    <w:locked/>
    <w:rsid w:val="00D52B06"/>
    <w:rPr>
      <w:rFonts w:ascii=".VnTime" w:hAnsi=".VnTime"/>
      <w:sz w:val="28"/>
      <w:szCs w:val="28"/>
    </w:rPr>
  </w:style>
  <w:style w:type="character" w:customStyle="1" w:styleId="BodyTextIndentChar">
    <w:name w:val="Body Text Indent Char"/>
    <w:basedOn w:val="DefaultParagraphFont"/>
    <w:link w:val="BodyTextIndent"/>
    <w:locked/>
    <w:rsid w:val="00D52B06"/>
    <w:rPr>
      <w:rFonts w:ascii=".VnTime" w:hAnsi=".VnTime"/>
      <w:iCs/>
      <w:sz w:val="24"/>
    </w:rPr>
  </w:style>
  <w:style w:type="character" w:customStyle="1" w:styleId="BodyText2Char">
    <w:name w:val="Body Text 2 Char"/>
    <w:basedOn w:val="DefaultParagraphFont"/>
    <w:link w:val="BodyText2"/>
    <w:locked/>
    <w:rsid w:val="00D52B06"/>
    <w:rPr>
      <w:rFonts w:ascii=".VnTime" w:hAnsi=".VnTime"/>
      <w:sz w:val="28"/>
      <w:szCs w:val="28"/>
    </w:rPr>
  </w:style>
  <w:style w:type="character" w:customStyle="1" w:styleId="EmailStyle241">
    <w:name w:val="EmailStyle241"/>
    <w:basedOn w:val="DefaultParagraphFont"/>
    <w:semiHidden/>
    <w:rsid w:val="001224FF"/>
    <w:rPr>
      <w:rFonts w:ascii="Arial" w:hAnsi="Arial" w:cs="Arial"/>
      <w:color w:val="000080"/>
      <w:sz w:val="20"/>
      <w:szCs w:val="20"/>
    </w:rPr>
  </w:style>
  <w:style w:type="paragraph" w:styleId="Header">
    <w:name w:val="header"/>
    <w:basedOn w:val="Normal"/>
    <w:link w:val="HeaderChar"/>
    <w:uiPriority w:val="99"/>
    <w:rsid w:val="00B61D1A"/>
    <w:pPr>
      <w:tabs>
        <w:tab w:val="center" w:pos="4680"/>
        <w:tab w:val="right" w:pos="9360"/>
      </w:tabs>
    </w:pPr>
  </w:style>
  <w:style w:type="character" w:customStyle="1" w:styleId="HeaderChar">
    <w:name w:val="Header Char"/>
    <w:basedOn w:val="DefaultParagraphFont"/>
    <w:link w:val="Header"/>
    <w:uiPriority w:val="99"/>
    <w:rsid w:val="00B61D1A"/>
    <w:rPr>
      <w:rFonts w:ascii=".VnTime" w:hAnsi=".VnTime"/>
      <w:sz w:val="28"/>
      <w:szCs w:val="28"/>
    </w:rPr>
  </w:style>
  <w:style w:type="paragraph" w:customStyle="1" w:styleId="text">
    <w:name w:val="text"/>
    <w:basedOn w:val="Normal"/>
    <w:qFormat/>
    <w:rsid w:val="00885EF4"/>
    <w:pPr>
      <w:widowControl w:val="0"/>
      <w:spacing w:before="60" w:line="264" w:lineRule="auto"/>
      <w:ind w:firstLine="680"/>
      <w:jc w:val="both"/>
    </w:pPr>
    <w:rPr>
      <w:rFonts w:ascii="Times New Roman" w:eastAsia="Calibri" w:hAnsi="Times New Roman"/>
      <w:lang w:val="vi-VN"/>
    </w:rPr>
  </w:style>
  <w:style w:type="character" w:customStyle="1" w:styleId="storyteaser">
    <w:name w:val="storyteaser"/>
    <w:basedOn w:val="DefaultParagraphFont"/>
    <w:rsid w:val="00D04C98"/>
  </w:style>
  <w:style w:type="paragraph" w:styleId="BodyText">
    <w:name w:val="Body Text"/>
    <w:basedOn w:val="Normal"/>
    <w:link w:val="BodyTextChar"/>
    <w:rsid w:val="004F4823"/>
    <w:pPr>
      <w:spacing w:after="120"/>
    </w:pPr>
  </w:style>
  <w:style w:type="character" w:customStyle="1" w:styleId="BodyTextChar">
    <w:name w:val="Body Text Char"/>
    <w:basedOn w:val="DefaultParagraphFont"/>
    <w:link w:val="BodyText"/>
    <w:rsid w:val="004F4823"/>
    <w:rPr>
      <w:rFonts w:ascii=".VnTime" w:hAnsi=".VnTime"/>
      <w:sz w:val="28"/>
      <w:szCs w:val="28"/>
    </w:rPr>
  </w:style>
  <w:style w:type="paragraph" w:styleId="NormalWeb">
    <w:name w:val="Normal (Web)"/>
    <w:aliases w:val="Char Char Char Char Char Char Char Char Char Char Char,Normal (Web) Char Char, Char Char25,Char Char25,Обычный (веб)1,Обычный (веб) Знак,Обычный (веб) Знак1,Обычный (веб) Знак Знак,Char Char Char1,Char Char Char"/>
    <w:basedOn w:val="Normal"/>
    <w:link w:val="NormalWebChar"/>
    <w:uiPriority w:val="99"/>
    <w:unhideWhenUsed/>
    <w:qFormat/>
    <w:rsid w:val="004F4823"/>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4F4823"/>
  </w:style>
  <w:style w:type="paragraph" w:styleId="ListParagraph">
    <w:name w:val="List Paragraph"/>
    <w:aliases w:val="normalnumber,List Paragraph1,Recommendation,List Paragraph11,Bulleted List Paragraph,Colorful Shading - Accent 31,ANNEX,List Paragraph2,List Paragraph3"/>
    <w:basedOn w:val="Normal"/>
    <w:link w:val="ListParagraphChar"/>
    <w:uiPriority w:val="34"/>
    <w:qFormat/>
    <w:rsid w:val="000631F3"/>
    <w:pPr>
      <w:ind w:left="720"/>
      <w:contextualSpacing/>
    </w:pPr>
    <w:rPr>
      <w:rFonts w:ascii="Times New Roman" w:eastAsia="Batang" w:hAnsi="Times New Roman"/>
      <w:lang w:eastAsia="ko-KR"/>
    </w:rPr>
  </w:style>
  <w:style w:type="character" w:styleId="Emphasis">
    <w:name w:val="Emphasis"/>
    <w:uiPriority w:val="20"/>
    <w:qFormat/>
    <w:rsid w:val="000631F3"/>
    <w:rPr>
      <w:i/>
      <w:iCs/>
    </w:rPr>
  </w:style>
  <w:style w:type="character" w:customStyle="1" w:styleId="ListParagraphChar">
    <w:name w:val="List Paragraph Char"/>
    <w:aliases w:val="normalnumber Char,List Paragraph1 Char,Recommendation Char,List Paragraph11 Char,Bulleted List Paragraph Char,Colorful Shading - Accent 31 Char,ANNEX Char,List Paragraph2 Char,List Paragraph3 Char"/>
    <w:link w:val="ListParagraph"/>
    <w:uiPriority w:val="34"/>
    <w:rsid w:val="000631F3"/>
    <w:rPr>
      <w:rFonts w:eastAsia="Batang"/>
      <w:sz w:val="28"/>
      <w:szCs w:val="28"/>
      <w:lang w:eastAsia="ko-KR"/>
    </w:rPr>
  </w:style>
  <w:style w:type="character" w:styleId="Hyperlink">
    <w:name w:val="Hyperlink"/>
    <w:uiPriority w:val="99"/>
    <w:rsid w:val="00946630"/>
    <w:rPr>
      <w:color w:val="0000FF"/>
      <w:u w:val="single"/>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n"/>
    <w:basedOn w:val="Normal"/>
    <w:link w:val="FootnoteTextChar"/>
    <w:uiPriority w:val="99"/>
    <w:qFormat/>
    <w:rsid w:val="002B196C"/>
    <w:pPr>
      <w:spacing w:line="288" w:lineRule="auto"/>
      <w:jc w:val="both"/>
    </w:pPr>
    <w:rPr>
      <w:rFonts w:ascii="Times New Roman" w:eastAsia="Batang" w:hAnsi="Times New Roman"/>
      <w:noProof/>
      <w:sz w:val="20"/>
      <w:szCs w:val="20"/>
      <w:lang w:val="vi-VN" w:eastAsia="ko-KR"/>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basedOn w:val="DefaultParagraphFont"/>
    <w:link w:val="FootnoteText"/>
    <w:uiPriority w:val="99"/>
    <w:qFormat/>
    <w:rsid w:val="002B196C"/>
    <w:rPr>
      <w:rFonts w:eastAsia="Batang"/>
      <w:noProof/>
      <w:lang w:val="vi-VN" w:eastAsia="ko-KR"/>
    </w:rPr>
  </w:style>
  <w:style w:type="character" w:styleId="FootnoteReference">
    <w:name w:val="footnote reference"/>
    <w:aliases w:val="Footnote + Arial,10 pt,Black,Footnote,ftref,(NECG) Footnote Reference,16 Point,Superscript 6 Point,Footnote text,BearingPoint,fr,Ref,de nota al pie,BVI f,R,Footnote Text1,f"/>
    <w:link w:val="CarattereCarattereCharCharCharCharCharCharZchn"/>
    <w:uiPriority w:val="99"/>
    <w:qFormat/>
    <w:rsid w:val="002B196C"/>
    <w:rPr>
      <w:vertAlign w:val="superscript"/>
    </w:rPr>
  </w:style>
  <w:style w:type="character" w:customStyle="1" w:styleId="fontstyle01">
    <w:name w:val="fontstyle01"/>
    <w:rsid w:val="00356F76"/>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rsid w:val="00BF5E52"/>
    <w:rPr>
      <w:rFonts w:ascii="Cambria" w:hAnsi="Cambria"/>
      <w:b/>
      <w:bCs/>
      <w:kern w:val="32"/>
      <w:sz w:val="32"/>
      <w:szCs w:val="32"/>
    </w:rPr>
  </w:style>
  <w:style w:type="character" w:styleId="CommentReference">
    <w:name w:val="annotation reference"/>
    <w:basedOn w:val="DefaultParagraphFont"/>
    <w:semiHidden/>
    <w:unhideWhenUsed/>
    <w:rsid w:val="00DA0538"/>
    <w:rPr>
      <w:sz w:val="16"/>
      <w:szCs w:val="16"/>
    </w:rPr>
  </w:style>
  <w:style w:type="paragraph" w:styleId="CommentText">
    <w:name w:val="annotation text"/>
    <w:basedOn w:val="Normal"/>
    <w:link w:val="CommentTextChar"/>
    <w:semiHidden/>
    <w:unhideWhenUsed/>
    <w:rsid w:val="00DA0538"/>
    <w:rPr>
      <w:sz w:val="20"/>
      <w:szCs w:val="20"/>
    </w:rPr>
  </w:style>
  <w:style w:type="character" w:customStyle="1" w:styleId="CommentTextChar">
    <w:name w:val="Comment Text Char"/>
    <w:basedOn w:val="DefaultParagraphFont"/>
    <w:link w:val="CommentText"/>
    <w:semiHidden/>
    <w:rsid w:val="00DA0538"/>
    <w:rPr>
      <w:rFonts w:ascii=".VnTime" w:hAnsi=".VnTime"/>
    </w:rPr>
  </w:style>
  <w:style w:type="paragraph" w:styleId="CommentSubject">
    <w:name w:val="annotation subject"/>
    <w:basedOn w:val="CommentText"/>
    <w:next w:val="CommentText"/>
    <w:link w:val="CommentSubjectChar"/>
    <w:semiHidden/>
    <w:unhideWhenUsed/>
    <w:rsid w:val="00DA0538"/>
    <w:rPr>
      <w:b/>
      <w:bCs/>
    </w:rPr>
  </w:style>
  <w:style w:type="character" w:customStyle="1" w:styleId="CommentSubjectChar">
    <w:name w:val="Comment Subject Char"/>
    <w:basedOn w:val="CommentTextChar"/>
    <w:link w:val="CommentSubject"/>
    <w:semiHidden/>
    <w:rsid w:val="00DA0538"/>
    <w:rPr>
      <w:rFonts w:ascii=".VnTime" w:hAnsi=".VnTime"/>
      <w:b/>
      <w:bCs/>
    </w:rPr>
  </w:style>
  <w:style w:type="paragraph" w:styleId="BalloonText">
    <w:name w:val="Balloon Text"/>
    <w:basedOn w:val="Normal"/>
    <w:link w:val="BalloonTextChar"/>
    <w:semiHidden/>
    <w:unhideWhenUsed/>
    <w:rsid w:val="00DA0538"/>
    <w:rPr>
      <w:rFonts w:ascii="Segoe UI" w:hAnsi="Segoe UI" w:cs="Segoe UI"/>
      <w:sz w:val="18"/>
      <w:szCs w:val="18"/>
    </w:rPr>
  </w:style>
  <w:style w:type="character" w:customStyle="1" w:styleId="BalloonTextChar">
    <w:name w:val="Balloon Text Char"/>
    <w:basedOn w:val="DefaultParagraphFont"/>
    <w:link w:val="BalloonText"/>
    <w:semiHidden/>
    <w:rsid w:val="00DA0538"/>
    <w:rPr>
      <w:rFonts w:ascii="Segoe UI" w:hAnsi="Segoe UI" w:cs="Segoe UI"/>
      <w:sz w:val="18"/>
      <w:szCs w:val="18"/>
    </w:rPr>
  </w:style>
  <w:style w:type="paragraph" w:styleId="Revision">
    <w:name w:val="Revision"/>
    <w:hidden/>
    <w:uiPriority w:val="99"/>
    <w:semiHidden/>
    <w:rsid w:val="003B6EE7"/>
    <w:rPr>
      <w:rFonts w:ascii=".VnTime" w:hAnsi=".VnTime"/>
      <w:sz w:val="28"/>
      <w:szCs w:val="28"/>
    </w:rPr>
  </w:style>
  <w:style w:type="character" w:customStyle="1" w:styleId="Heading2Char">
    <w:name w:val="Heading 2 Char"/>
    <w:basedOn w:val="DefaultParagraphFont"/>
    <w:link w:val="Heading2"/>
    <w:semiHidden/>
    <w:rsid w:val="00424A8F"/>
    <w:rPr>
      <w:rFonts w:asciiTheme="majorHAnsi" w:eastAsiaTheme="majorEastAsia" w:hAnsiTheme="majorHAnsi" w:cstheme="majorBidi"/>
      <w:b/>
      <w:bCs/>
      <w:color w:val="4F81BD" w:themeColor="accent1"/>
      <w:sz w:val="26"/>
      <w:szCs w:val="26"/>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611598"/>
    <w:pPr>
      <w:spacing w:after="160" w:line="240" w:lineRule="exact"/>
    </w:pPr>
    <w:rPr>
      <w:rFonts w:ascii="Times New Roman" w:hAnsi="Times New Roman"/>
      <w:sz w:val="20"/>
      <w:szCs w:val="20"/>
      <w:vertAlign w:val="superscript"/>
    </w:rPr>
  </w:style>
  <w:style w:type="character" w:customStyle="1" w:styleId="NormalWebChar">
    <w:name w:val="Normal (Web) Char"/>
    <w:aliases w:val="Char Char Char Char Char Char Char Char Char Char Char Char,Normal (Web) Char Char Char, Char Char25 Char,Char Char25 Char,Обычный (веб)1 Char,Обычный (веб) Знак Char,Обычный (веб) Знак1 Char,Обычный (веб) Знак Знак Char"/>
    <w:link w:val="NormalWeb"/>
    <w:uiPriority w:val="99"/>
    <w:qFormat/>
    <w:locked/>
    <w:rsid w:val="00366245"/>
    <w:rPr>
      <w:sz w:val="24"/>
      <w:szCs w:val="24"/>
    </w:rPr>
  </w:style>
  <w:style w:type="character" w:customStyle="1" w:styleId="Vnbnnidung7Gincch0pt">
    <w:name w:val="Văn bản nội dung (7) + Giãn cách 0 pt"/>
    <w:rsid w:val="004F782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m-8497749979255946976ydp6badd9yiv4063608501msonormal">
    <w:name w:val="m_-8497749979255946976ydp6badd9yiv4063608501msonormal"/>
    <w:basedOn w:val="Normal"/>
    <w:rsid w:val="004F782B"/>
    <w:pPr>
      <w:spacing w:before="100" w:beforeAutospacing="1" w:after="100" w:afterAutospacing="1"/>
    </w:pPr>
    <w:rPr>
      <w:rFonts w:ascii="Times New Roman" w:hAnsi="Times New Roman"/>
      <w:sz w:val="24"/>
      <w:szCs w:val="24"/>
    </w:rPr>
  </w:style>
  <w:style w:type="paragraph" w:customStyle="1" w:styleId="MediumGrid1-Accent21">
    <w:name w:val="Medium Grid 1 - Accent 21"/>
    <w:basedOn w:val="Normal"/>
    <w:uiPriority w:val="34"/>
    <w:qFormat/>
    <w:rsid w:val="004F782B"/>
    <w:pPr>
      <w:ind w:left="720"/>
      <w:contextualSpacing/>
    </w:pPr>
    <w:rPr>
      <w:rFonts w:ascii="Times New Roman" w:hAnsi="Times New Roman"/>
      <w:sz w:val="24"/>
      <w:szCs w:val="24"/>
    </w:rPr>
  </w:style>
  <w:style w:type="character" w:styleId="UnresolvedMention">
    <w:name w:val="Unresolved Mention"/>
    <w:basedOn w:val="DefaultParagraphFont"/>
    <w:uiPriority w:val="99"/>
    <w:semiHidden/>
    <w:unhideWhenUsed/>
    <w:rsid w:val="00121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bao-hiem/nghi-dinh-146-2018-nd-cp-huong-dan-luat-bao-hiem-y-te-168062-d1.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the-thao-y-te/nghi-dinh-146-2018-nd-cp-huong-dan-luat-bao-hiem-y-te-357505.aspx"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thuvienphapluat.vn/van-ban/the-thao-y-te/thong-tu-27-2020-tt-byt-sua-doi-thong-tu-05-2015-tt-byt-danh-muc-thuoc-dong-y-thuoc-tu-duoc-lieu-461191.aspx" TargetMode="External"/><Relationship Id="rId1" Type="http://schemas.openxmlformats.org/officeDocument/2006/relationships/hyperlink" Target="https://thuvienphapluat.vn/van-ban/tai-chinh-nha-nuoc/thong-tu-50-2017-tt-byt-sua-doi-quy-dinh-lien-quan-den-thanh-toan-chi-phi-kham-benh-chua-benh-37225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653F6-FE92-41A5-973A-6BCA97E44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21</Pages>
  <Words>7921</Words>
  <Characters>45153</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Dù b¸o t¸c ®éng cña luËt Bo hiÓm y tÕ ®èi víi chÝnh trÞ, kinh tÕ vµ x• héi</vt:lpstr>
    </vt:vector>
  </TitlesOfParts>
  <Company>MOH</Company>
  <LinksUpToDate>false</LinksUpToDate>
  <CharactersWithSpaces>52969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Dù b¸o t¸c ®éng cña luËt Bo hiÓm y tÕ ®èi víi chÝnh trÞ, kinh tÕ vµ x• héi</dc:title>
  <dc:creator>Admin</dc:creator>
  <cp:lastModifiedBy>AD</cp:lastModifiedBy>
  <cp:revision>18</cp:revision>
  <cp:lastPrinted>2022-10-26T04:12:00Z</cp:lastPrinted>
  <dcterms:created xsi:type="dcterms:W3CDTF">2024-11-30T09:07:00Z</dcterms:created>
  <dcterms:modified xsi:type="dcterms:W3CDTF">2024-12-02T02:34:00Z</dcterms:modified>
</cp:coreProperties>
</file>